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138"/>
        <w:gridCol w:w="1842"/>
        <w:gridCol w:w="1841"/>
        <w:gridCol w:w="989"/>
        <w:gridCol w:w="854"/>
        <w:gridCol w:w="989"/>
      </w:tblGrid>
      <w:tr w:rsidR="00A407B9" w:rsidRPr="00A407B9" w:rsidTr="00A407B9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计划岗位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计划引进人才专业类别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人才类别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专业带头人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学前教育、小学教育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教授职称专业骨干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50周岁以下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空缺时计划互相结转</w:t>
            </w: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教育学、心理学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专业带头人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护理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空缺时计划互相结转</w:t>
            </w: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护理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专业带头人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中医、康复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空缺时计划互相结转</w:t>
            </w: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临床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临床、美容、中医、康复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管理与信息学院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专业带头人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会计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空缺时计划互相结转，每</w:t>
            </w: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个专业类别限1个。</w:t>
            </w: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网络、计算机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电子商务、大数据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艺术与传媒学院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专业带头人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音乐、舞蹈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艺术设计、数字媒体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副高级及以上职称专业骨干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45周岁以下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学科带头人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思政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教授职称专业骨干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50周岁以下，中共党员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以上计划如有空缺，可结转1名。</w:t>
            </w: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有行政管理经验可安排相应职务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思政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40周岁以下，中共党员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07B9" w:rsidRPr="00A407B9" w:rsidRDefault="00A407B9" w:rsidP="00A407B9">
            <w:pPr>
              <w:widowControl/>
              <w:ind w:firstLine="5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A407B9" w:rsidRPr="00A407B9" w:rsidTr="00A407B9">
        <w:tc>
          <w:tcPr>
            <w:tcW w:w="5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</w:tr>
      <w:tr w:rsidR="00A407B9" w:rsidRPr="00A407B9" w:rsidTr="00A407B9">
        <w:tc>
          <w:tcPr>
            <w:tcW w:w="86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lastRenderedPageBreak/>
              <w:t>注：以上人才为编制内引进，要符合《滁州城市职业学院人才标准》。副高级及以上人才专业类别为其专业技术职称评聘和主要从事专业，博士人才专业为其学位对应的相关专业。高层次人才引进计划最终以市主管部门审批为准。</w:t>
            </w:r>
          </w:p>
          <w:p w:rsidR="00A407B9" w:rsidRPr="00A407B9" w:rsidRDefault="00A407B9" w:rsidP="00A407B9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A407B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医学卫生类专业岗位实行“教师”“医师”双聘管理，可在附属医院（滁州市中西医结合医院）执业。</w:t>
            </w:r>
          </w:p>
        </w:tc>
      </w:tr>
    </w:tbl>
    <w:p w:rsidR="00E55392" w:rsidRPr="00A407B9" w:rsidRDefault="00A407B9">
      <w:bookmarkStart w:id="0" w:name="_GoBack"/>
      <w:bookmarkEnd w:id="0"/>
    </w:p>
    <w:sectPr w:rsidR="00E55392" w:rsidRPr="00A4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5"/>
    <w:rsid w:val="004870D5"/>
    <w:rsid w:val="00977B11"/>
    <w:rsid w:val="00A407B9"/>
    <w:rsid w:val="00C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448F-B636-45F2-B6B0-E09D4A99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2022-07-16T01:25:00Z</dcterms:created>
  <dcterms:modified xsi:type="dcterms:W3CDTF">2022-07-16T01:25:00Z</dcterms:modified>
</cp:coreProperties>
</file>