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仿宋_GB2312" w:hAnsi="宋体" w:eastAsia="仿宋_GB2312"/>
          <w:sz w:val="32"/>
          <w:szCs w:val="32"/>
          <w:lang w:val="en-US" w:eastAsia="zh-CN"/>
        </w:rPr>
      </w:pPr>
      <w:r>
        <w:rPr>
          <w:rFonts w:hint="eastAsia" w:ascii="仿宋_GB2312" w:hAnsi="宋体" w:eastAsia="仿宋_GB2312"/>
          <w:sz w:val="32"/>
          <w:szCs w:val="32"/>
          <w:lang w:val="en-US" w:eastAsia="zh-CN"/>
        </w:rPr>
        <w:t>附件1</w:t>
      </w:r>
    </w:p>
    <w:p>
      <w:pPr>
        <w:jc w:val="center"/>
        <w:rPr>
          <w:rFonts w:hint="eastAsia" w:ascii="仿宋_GB2312" w:hAnsi="宋体" w:eastAsia="仿宋_GB2312"/>
          <w:sz w:val="32"/>
          <w:szCs w:val="32"/>
          <w:lang w:val="en-US" w:eastAsia="zh-CN"/>
        </w:rPr>
      </w:pPr>
      <w:r>
        <w:rPr>
          <w:rFonts w:hint="eastAsia" w:ascii="方正小标宋简体" w:hAnsi="方正小标宋简体" w:eastAsia="方正小标宋简体" w:cs="方正小标宋简体"/>
          <w:sz w:val="44"/>
          <w:szCs w:val="44"/>
          <w:lang w:val="en-US" w:eastAsia="zh-CN"/>
        </w:rPr>
        <w:t>嘉兴市秀洲传媒有限公司公开招聘工作人员岗位要求表</w:t>
      </w:r>
    </w:p>
    <w:tbl>
      <w:tblPr>
        <w:tblStyle w:val="2"/>
        <w:tblW w:w="0" w:type="auto"/>
        <w:tblInd w:w="13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40"/>
        <w:gridCol w:w="2280"/>
        <w:gridCol w:w="1050"/>
        <w:gridCol w:w="690"/>
        <w:gridCol w:w="855"/>
        <w:gridCol w:w="1095"/>
        <w:gridCol w:w="1725"/>
        <w:gridCol w:w="53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9" w:hRule="atLeast"/>
        </w:trPr>
        <w:tc>
          <w:tcPr>
            <w:tcW w:w="840" w:type="dxa"/>
            <w:vMerge w:val="restart"/>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center"/>
              <w:rPr>
                <w:rFonts w:hint="eastAsia" w:ascii="宋体" w:hAnsi="宋体" w:eastAsia="宋体" w:cs="宋体"/>
                <w:b/>
                <w:bCs/>
                <w:color w:val="auto"/>
                <w:sz w:val="20"/>
                <w:szCs w:val="20"/>
                <w:highlight w:val="none"/>
              </w:rPr>
            </w:pPr>
            <w:r>
              <w:rPr>
                <w:rFonts w:hint="eastAsia" w:ascii="宋体" w:hAnsi="宋体" w:eastAsia="宋体" w:cs="宋体"/>
                <w:b/>
                <w:bCs/>
                <w:color w:val="auto"/>
                <w:kern w:val="0"/>
                <w:sz w:val="20"/>
                <w:szCs w:val="20"/>
                <w:highlight w:val="none"/>
                <w:lang w:bidi="ar"/>
              </w:rPr>
              <w:t>岗位</w:t>
            </w:r>
          </w:p>
        </w:tc>
        <w:tc>
          <w:tcPr>
            <w:tcW w:w="2280" w:type="dxa"/>
            <w:vMerge w:val="restart"/>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center"/>
              <w:rPr>
                <w:rFonts w:hint="eastAsia" w:ascii="宋体" w:hAnsi="宋体" w:eastAsia="宋体" w:cs="宋体"/>
                <w:b/>
                <w:bCs/>
                <w:color w:val="auto"/>
                <w:sz w:val="20"/>
                <w:szCs w:val="20"/>
                <w:highlight w:val="none"/>
              </w:rPr>
            </w:pPr>
            <w:r>
              <w:rPr>
                <w:rFonts w:hint="eastAsia" w:ascii="宋体" w:hAnsi="宋体" w:eastAsia="宋体" w:cs="宋体"/>
                <w:b/>
                <w:bCs/>
                <w:color w:val="auto"/>
                <w:kern w:val="0"/>
                <w:sz w:val="20"/>
                <w:szCs w:val="20"/>
                <w:highlight w:val="none"/>
                <w:lang w:bidi="ar"/>
              </w:rPr>
              <w:t>主要职责</w:t>
            </w:r>
          </w:p>
        </w:tc>
        <w:tc>
          <w:tcPr>
            <w:tcW w:w="1050" w:type="dxa"/>
            <w:vMerge w:val="restart"/>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center"/>
              <w:rPr>
                <w:rFonts w:hint="eastAsia" w:ascii="宋体" w:hAnsi="宋体" w:eastAsia="宋体" w:cs="宋体"/>
                <w:b/>
                <w:bCs/>
                <w:color w:val="auto"/>
                <w:sz w:val="20"/>
                <w:szCs w:val="20"/>
                <w:highlight w:val="none"/>
              </w:rPr>
            </w:pPr>
            <w:r>
              <w:rPr>
                <w:rFonts w:hint="eastAsia" w:ascii="宋体" w:hAnsi="宋体" w:eastAsia="宋体" w:cs="宋体"/>
                <w:b/>
                <w:bCs/>
                <w:color w:val="auto"/>
                <w:kern w:val="0"/>
                <w:sz w:val="20"/>
                <w:szCs w:val="20"/>
                <w:highlight w:val="none"/>
                <w:lang w:bidi="ar"/>
              </w:rPr>
              <w:t>岗位代码</w:t>
            </w:r>
          </w:p>
        </w:tc>
        <w:tc>
          <w:tcPr>
            <w:tcW w:w="690" w:type="dxa"/>
            <w:vMerge w:val="restart"/>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center"/>
              <w:rPr>
                <w:rFonts w:hint="eastAsia" w:ascii="宋体" w:hAnsi="宋体" w:eastAsia="宋体" w:cs="宋体"/>
                <w:b/>
                <w:bCs/>
                <w:color w:val="auto"/>
                <w:sz w:val="20"/>
                <w:szCs w:val="20"/>
                <w:highlight w:val="none"/>
              </w:rPr>
            </w:pPr>
            <w:r>
              <w:rPr>
                <w:rFonts w:hint="eastAsia" w:ascii="宋体" w:hAnsi="宋体" w:eastAsia="宋体" w:cs="宋体"/>
                <w:b/>
                <w:bCs/>
                <w:color w:val="auto"/>
                <w:kern w:val="0"/>
                <w:sz w:val="20"/>
                <w:szCs w:val="20"/>
                <w:highlight w:val="none"/>
                <w:lang w:bidi="ar"/>
              </w:rPr>
              <w:t>人数</w:t>
            </w:r>
          </w:p>
        </w:tc>
        <w:tc>
          <w:tcPr>
            <w:tcW w:w="9060" w:type="dxa"/>
            <w:gridSpan w:val="4"/>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center"/>
              <w:rPr>
                <w:rFonts w:hint="eastAsia" w:ascii="宋体" w:hAnsi="宋体" w:eastAsia="宋体" w:cs="宋体"/>
                <w:b/>
                <w:bCs/>
                <w:color w:val="auto"/>
                <w:sz w:val="20"/>
                <w:szCs w:val="20"/>
                <w:highlight w:val="none"/>
              </w:rPr>
            </w:pPr>
            <w:r>
              <w:rPr>
                <w:rFonts w:hint="eastAsia" w:ascii="宋体" w:hAnsi="宋体" w:eastAsia="宋体" w:cs="宋体"/>
                <w:b/>
                <w:bCs/>
                <w:color w:val="auto"/>
                <w:kern w:val="0"/>
                <w:sz w:val="20"/>
                <w:szCs w:val="20"/>
                <w:highlight w:val="none"/>
                <w:lang w:bidi="ar"/>
              </w:rPr>
              <w:t>岗位要求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3" w:hRule="atLeast"/>
        </w:trPr>
        <w:tc>
          <w:tcPr>
            <w:tcW w:w="840" w:type="dxa"/>
            <w:vMerge w:val="continue"/>
            <w:tcBorders>
              <w:tl2br w:val="nil"/>
              <w:tr2bl w:val="nil"/>
            </w:tcBorders>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center"/>
              <w:rPr>
                <w:rFonts w:hint="eastAsia" w:ascii="宋体" w:hAnsi="宋体" w:eastAsia="宋体" w:cs="宋体"/>
                <w:b/>
                <w:bCs/>
                <w:color w:val="auto"/>
                <w:sz w:val="20"/>
                <w:szCs w:val="20"/>
                <w:highlight w:val="none"/>
              </w:rPr>
            </w:pPr>
          </w:p>
        </w:tc>
        <w:tc>
          <w:tcPr>
            <w:tcW w:w="2280" w:type="dxa"/>
            <w:vMerge w:val="continue"/>
            <w:tcBorders>
              <w:tl2br w:val="nil"/>
              <w:tr2bl w:val="nil"/>
            </w:tcBorders>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center"/>
              <w:rPr>
                <w:rFonts w:hint="eastAsia" w:ascii="宋体" w:hAnsi="宋体" w:eastAsia="宋体" w:cs="宋体"/>
                <w:b/>
                <w:bCs/>
                <w:color w:val="auto"/>
                <w:sz w:val="20"/>
                <w:szCs w:val="20"/>
                <w:highlight w:val="none"/>
              </w:rPr>
            </w:pPr>
          </w:p>
        </w:tc>
        <w:tc>
          <w:tcPr>
            <w:tcW w:w="1050" w:type="dxa"/>
            <w:vMerge w:val="continue"/>
            <w:tcBorders>
              <w:tl2br w:val="nil"/>
              <w:tr2bl w:val="nil"/>
            </w:tcBorders>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center"/>
              <w:rPr>
                <w:rFonts w:hint="eastAsia" w:ascii="宋体" w:hAnsi="宋体" w:eastAsia="宋体" w:cs="宋体"/>
                <w:b/>
                <w:bCs/>
                <w:color w:val="auto"/>
                <w:sz w:val="20"/>
                <w:szCs w:val="20"/>
                <w:highlight w:val="none"/>
              </w:rPr>
            </w:pPr>
          </w:p>
        </w:tc>
        <w:tc>
          <w:tcPr>
            <w:tcW w:w="690" w:type="dxa"/>
            <w:vMerge w:val="continue"/>
            <w:tcBorders>
              <w:tl2br w:val="nil"/>
              <w:tr2bl w:val="nil"/>
            </w:tcBorders>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center"/>
              <w:rPr>
                <w:rFonts w:hint="eastAsia" w:ascii="宋体" w:hAnsi="宋体" w:eastAsia="宋体" w:cs="宋体"/>
                <w:b/>
                <w:bCs/>
                <w:color w:val="auto"/>
                <w:sz w:val="20"/>
                <w:szCs w:val="20"/>
                <w:highlight w:val="none"/>
              </w:rPr>
            </w:pPr>
          </w:p>
        </w:tc>
        <w:tc>
          <w:tcPr>
            <w:tcW w:w="855"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center"/>
              <w:rPr>
                <w:rFonts w:hint="eastAsia" w:ascii="宋体" w:hAnsi="宋体" w:eastAsia="宋体" w:cs="宋体"/>
                <w:b/>
                <w:bCs/>
                <w:color w:val="auto"/>
                <w:sz w:val="20"/>
                <w:szCs w:val="20"/>
                <w:highlight w:val="none"/>
              </w:rPr>
            </w:pPr>
            <w:r>
              <w:rPr>
                <w:rFonts w:hint="eastAsia" w:ascii="宋体" w:hAnsi="宋体" w:eastAsia="宋体" w:cs="宋体"/>
                <w:b/>
                <w:bCs/>
                <w:color w:val="auto"/>
                <w:kern w:val="0"/>
                <w:sz w:val="20"/>
                <w:szCs w:val="20"/>
                <w:highlight w:val="none"/>
                <w:lang w:bidi="ar"/>
              </w:rPr>
              <w:t>年龄</w:t>
            </w:r>
          </w:p>
        </w:tc>
        <w:tc>
          <w:tcPr>
            <w:tcW w:w="1095"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center"/>
              <w:rPr>
                <w:rFonts w:hint="eastAsia" w:ascii="宋体" w:hAnsi="宋体" w:eastAsia="宋体" w:cs="宋体"/>
                <w:b/>
                <w:bCs/>
                <w:color w:val="auto"/>
                <w:sz w:val="20"/>
                <w:szCs w:val="20"/>
                <w:highlight w:val="none"/>
              </w:rPr>
            </w:pPr>
            <w:r>
              <w:rPr>
                <w:rFonts w:hint="eastAsia" w:ascii="宋体" w:hAnsi="宋体" w:eastAsia="宋体" w:cs="宋体"/>
                <w:b/>
                <w:bCs/>
                <w:color w:val="auto"/>
                <w:kern w:val="0"/>
                <w:sz w:val="20"/>
                <w:szCs w:val="20"/>
                <w:highlight w:val="none"/>
                <w:lang w:bidi="ar"/>
              </w:rPr>
              <w:t>学历</w:t>
            </w:r>
          </w:p>
        </w:tc>
        <w:tc>
          <w:tcPr>
            <w:tcW w:w="172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center"/>
              <w:rPr>
                <w:rFonts w:hint="eastAsia" w:ascii="宋体" w:hAnsi="宋体" w:eastAsia="宋体" w:cs="宋体"/>
                <w:b/>
                <w:bCs/>
                <w:color w:val="auto"/>
                <w:sz w:val="20"/>
                <w:szCs w:val="20"/>
                <w:highlight w:val="none"/>
              </w:rPr>
            </w:pPr>
            <w:r>
              <w:rPr>
                <w:rFonts w:hint="eastAsia" w:ascii="宋体" w:hAnsi="宋体" w:eastAsia="宋体" w:cs="宋体"/>
                <w:b/>
                <w:bCs/>
                <w:color w:val="auto"/>
                <w:kern w:val="0"/>
                <w:sz w:val="20"/>
                <w:szCs w:val="20"/>
                <w:highlight w:val="none"/>
                <w:lang w:bidi="ar"/>
              </w:rPr>
              <w:t>专业</w:t>
            </w:r>
          </w:p>
        </w:tc>
        <w:tc>
          <w:tcPr>
            <w:tcW w:w="5385"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center"/>
              <w:rPr>
                <w:rFonts w:hint="eastAsia" w:ascii="宋体" w:hAnsi="宋体" w:eastAsia="宋体" w:cs="宋体"/>
                <w:b/>
                <w:bCs/>
                <w:color w:val="auto"/>
                <w:sz w:val="20"/>
                <w:szCs w:val="20"/>
                <w:highlight w:val="none"/>
              </w:rPr>
            </w:pPr>
            <w:r>
              <w:rPr>
                <w:rFonts w:hint="eastAsia" w:ascii="宋体" w:hAnsi="宋体" w:eastAsia="宋体" w:cs="宋体"/>
                <w:b/>
                <w:bCs/>
                <w:color w:val="auto"/>
                <w:kern w:val="0"/>
                <w:sz w:val="20"/>
                <w:szCs w:val="20"/>
                <w:highlight w:val="none"/>
                <w:lang w:bidi="ar"/>
              </w:rPr>
              <w:t>其他要求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40" w:hRule="atLeast"/>
        </w:trPr>
        <w:tc>
          <w:tcPr>
            <w:tcW w:w="84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center"/>
              <w:rPr>
                <w:rFonts w:hint="default" w:ascii="宋体" w:hAnsi="宋体" w:eastAsia="宋体" w:cs="宋体"/>
                <w:color w:val="auto"/>
                <w:kern w:val="0"/>
                <w:sz w:val="20"/>
                <w:szCs w:val="20"/>
                <w:highlight w:val="none"/>
                <w:lang w:bidi="ar"/>
              </w:rPr>
            </w:pPr>
            <w:r>
              <w:rPr>
                <w:rFonts w:hint="eastAsia" w:ascii="宋体" w:hAnsi="宋体" w:eastAsia="宋体" w:cs="宋体"/>
                <w:color w:val="auto"/>
                <w:kern w:val="0"/>
                <w:sz w:val="20"/>
                <w:szCs w:val="20"/>
                <w:highlight w:val="none"/>
                <w:lang w:bidi="ar"/>
              </w:rPr>
              <w:t>综合</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center"/>
              <w:rPr>
                <w:rFonts w:hint="default"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管理</w:t>
            </w:r>
          </w:p>
        </w:tc>
        <w:tc>
          <w:tcPr>
            <w:tcW w:w="228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财务</w:t>
            </w:r>
            <w:r>
              <w:rPr>
                <w:rFonts w:hint="eastAsia" w:ascii="宋体" w:hAnsi="宋体" w:cs="宋体"/>
                <w:color w:val="auto"/>
                <w:sz w:val="20"/>
                <w:szCs w:val="20"/>
                <w:highlight w:val="none"/>
                <w:lang w:val="en-US" w:eastAsia="zh-CN"/>
              </w:rPr>
              <w:t>管理</w:t>
            </w:r>
            <w:r>
              <w:rPr>
                <w:rFonts w:hint="eastAsia" w:ascii="宋体" w:hAnsi="宋体" w:eastAsia="宋体" w:cs="宋体"/>
                <w:color w:val="auto"/>
                <w:sz w:val="20"/>
                <w:szCs w:val="20"/>
                <w:highlight w:val="none"/>
              </w:rPr>
              <w:t>、</w:t>
            </w:r>
            <w:r>
              <w:rPr>
                <w:rFonts w:hint="eastAsia" w:ascii="宋体" w:hAnsi="宋体" w:cs="宋体"/>
                <w:color w:val="auto"/>
                <w:sz w:val="20"/>
                <w:szCs w:val="20"/>
                <w:highlight w:val="none"/>
                <w:lang w:val="en-US" w:eastAsia="zh-CN"/>
              </w:rPr>
              <w:t>预决算管理；</w:t>
            </w:r>
            <w:r>
              <w:rPr>
                <w:rFonts w:hint="eastAsia" w:ascii="宋体" w:hAnsi="宋体" w:eastAsia="宋体" w:cs="宋体"/>
                <w:color w:val="auto"/>
                <w:sz w:val="20"/>
                <w:szCs w:val="20"/>
                <w:highlight w:val="none"/>
              </w:rPr>
              <w:t>资产核算及管理</w:t>
            </w:r>
            <w:r>
              <w:rPr>
                <w:rFonts w:hint="eastAsia" w:ascii="宋体" w:hAnsi="宋体" w:cs="宋体"/>
                <w:color w:val="auto"/>
                <w:sz w:val="20"/>
                <w:szCs w:val="20"/>
                <w:highlight w:val="none"/>
                <w:lang w:eastAsia="zh-CN"/>
              </w:rPr>
              <w:t>、</w:t>
            </w:r>
            <w:r>
              <w:rPr>
                <w:rFonts w:hint="eastAsia" w:ascii="宋体" w:hAnsi="宋体" w:eastAsia="宋体" w:cs="宋体"/>
                <w:color w:val="auto"/>
                <w:sz w:val="20"/>
                <w:szCs w:val="20"/>
                <w:highlight w:val="none"/>
              </w:rPr>
              <w:t>会计档案管理、合同管理；行政会务、</w:t>
            </w:r>
            <w:r>
              <w:rPr>
                <w:rFonts w:hint="eastAsia" w:ascii="宋体" w:hAnsi="宋体" w:cs="宋体"/>
                <w:color w:val="auto"/>
                <w:sz w:val="20"/>
                <w:szCs w:val="20"/>
                <w:highlight w:val="none"/>
                <w:lang w:val="en-US" w:eastAsia="zh-CN"/>
              </w:rPr>
              <w:t>党群</w:t>
            </w:r>
            <w:r>
              <w:rPr>
                <w:rFonts w:hint="eastAsia" w:ascii="宋体" w:hAnsi="宋体" w:eastAsia="宋体" w:cs="宋体"/>
                <w:color w:val="auto"/>
                <w:sz w:val="20"/>
                <w:szCs w:val="20"/>
                <w:highlight w:val="none"/>
              </w:rPr>
              <w:t>人事；采购、后勤保障等</w:t>
            </w:r>
            <w:r>
              <w:rPr>
                <w:rFonts w:hint="eastAsia" w:ascii="宋体" w:hAnsi="宋体" w:eastAsia="宋体" w:cs="宋体"/>
                <w:color w:val="auto"/>
                <w:kern w:val="0"/>
                <w:sz w:val="20"/>
                <w:szCs w:val="20"/>
                <w:highlight w:val="none"/>
                <w:lang w:bidi="ar"/>
              </w:rPr>
              <w:t>。</w:t>
            </w:r>
          </w:p>
        </w:tc>
        <w:tc>
          <w:tcPr>
            <w:tcW w:w="105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0</w:t>
            </w:r>
            <w:r>
              <w:rPr>
                <w:rFonts w:hint="eastAsia" w:ascii="宋体" w:hAnsi="宋体" w:cs="宋体"/>
                <w:color w:val="auto"/>
                <w:kern w:val="0"/>
                <w:sz w:val="20"/>
                <w:szCs w:val="20"/>
                <w:highlight w:val="none"/>
                <w:lang w:val="en-US" w:eastAsia="zh-CN" w:bidi="ar"/>
              </w:rPr>
              <w:t>1</w:t>
            </w:r>
            <w:r>
              <w:rPr>
                <w:rFonts w:hint="eastAsia" w:ascii="宋体" w:hAnsi="宋体" w:eastAsia="宋体" w:cs="宋体"/>
                <w:color w:val="auto"/>
                <w:kern w:val="0"/>
                <w:sz w:val="20"/>
                <w:szCs w:val="20"/>
                <w:highlight w:val="none"/>
                <w:lang w:bidi="ar"/>
              </w:rPr>
              <w:t>01</w:t>
            </w:r>
          </w:p>
        </w:tc>
        <w:tc>
          <w:tcPr>
            <w:tcW w:w="69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85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35周岁及以下</w:t>
            </w:r>
          </w:p>
        </w:tc>
        <w:tc>
          <w:tcPr>
            <w:tcW w:w="109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大学本科及以上</w:t>
            </w:r>
          </w:p>
        </w:tc>
        <w:tc>
          <w:tcPr>
            <w:tcW w:w="172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经济学类、</w:t>
            </w:r>
            <w:r>
              <w:rPr>
                <w:rFonts w:hint="default" w:ascii="宋体" w:hAnsi="宋体" w:eastAsia="宋体" w:cs="宋体"/>
                <w:color w:val="auto"/>
                <w:kern w:val="0"/>
                <w:sz w:val="20"/>
                <w:szCs w:val="20"/>
                <w:highlight w:val="none"/>
                <w:lang w:bidi="ar"/>
              </w:rPr>
              <w:t>公共管理类、</w:t>
            </w:r>
            <w:r>
              <w:rPr>
                <w:rFonts w:hint="eastAsia" w:ascii="宋体" w:hAnsi="宋体" w:eastAsia="宋体" w:cs="宋体"/>
                <w:color w:val="auto"/>
                <w:kern w:val="0"/>
                <w:sz w:val="20"/>
                <w:szCs w:val="20"/>
                <w:highlight w:val="none"/>
                <w:lang w:bidi="ar"/>
              </w:rPr>
              <w:t>工商管理</w:t>
            </w:r>
            <w:r>
              <w:rPr>
                <w:rFonts w:hint="default" w:ascii="宋体" w:hAnsi="宋体" w:eastAsia="宋体" w:cs="宋体"/>
                <w:color w:val="auto"/>
                <w:kern w:val="0"/>
                <w:sz w:val="20"/>
                <w:szCs w:val="20"/>
                <w:highlight w:val="none"/>
                <w:lang w:bidi="ar"/>
              </w:rPr>
              <w:t>类</w:t>
            </w:r>
            <w:r>
              <w:rPr>
                <w:rFonts w:hint="eastAsia" w:ascii="宋体" w:hAnsi="宋体" w:eastAsia="宋体" w:cs="宋体"/>
                <w:color w:val="auto"/>
                <w:kern w:val="0"/>
                <w:sz w:val="20"/>
                <w:szCs w:val="20"/>
                <w:highlight w:val="none"/>
                <w:lang w:bidi="ar"/>
              </w:rPr>
              <w:t>相关专业</w:t>
            </w:r>
          </w:p>
        </w:tc>
        <w:tc>
          <w:tcPr>
            <w:tcW w:w="5385" w:type="dxa"/>
            <w:tcBorders>
              <w:tl2br w:val="nil"/>
              <w:tr2bl w:val="nil"/>
            </w:tcBorders>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center"/>
              <w:rPr>
                <w:rFonts w:hint="eastAsia" w:ascii="宋体" w:hAnsi="宋体" w:eastAsia="宋体" w:cs="宋体"/>
                <w:color w:val="auto"/>
                <w:kern w:val="0"/>
                <w:sz w:val="20"/>
                <w:szCs w:val="20"/>
                <w:highlight w:val="none"/>
                <w:lang w:bidi="ar"/>
              </w:rPr>
            </w:pPr>
            <w:r>
              <w:rPr>
                <w:rFonts w:hint="eastAsia" w:ascii="宋体" w:hAnsi="宋体" w:eastAsia="宋体" w:cs="宋体"/>
                <w:color w:val="auto"/>
                <w:kern w:val="0"/>
                <w:sz w:val="20"/>
                <w:szCs w:val="20"/>
                <w:highlight w:val="none"/>
                <w:lang w:bidi="ar"/>
              </w:rPr>
              <w:t>具有2年</w:t>
            </w:r>
            <w:r>
              <w:rPr>
                <w:rFonts w:hint="eastAsia" w:ascii="宋体" w:hAnsi="宋体" w:eastAsia="宋体" w:cs="宋体"/>
                <w:color w:val="auto"/>
                <w:kern w:val="0"/>
                <w:sz w:val="20"/>
                <w:szCs w:val="20"/>
                <w:highlight w:val="none"/>
                <w:lang w:val="en-US" w:eastAsia="zh-CN" w:bidi="ar"/>
              </w:rPr>
              <w:t>及</w:t>
            </w:r>
            <w:r>
              <w:rPr>
                <w:rFonts w:hint="eastAsia" w:ascii="宋体" w:hAnsi="宋体" w:eastAsia="宋体" w:cs="宋体"/>
                <w:color w:val="auto"/>
                <w:kern w:val="0"/>
                <w:sz w:val="20"/>
                <w:szCs w:val="20"/>
                <w:highlight w:val="none"/>
                <w:lang w:bidi="ar"/>
              </w:rPr>
              <w:t>以上企业财务相关工作经历；</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center"/>
              <w:rPr>
                <w:rFonts w:hint="eastAsia" w:ascii="宋体" w:hAnsi="宋体" w:eastAsia="宋体" w:cs="宋体"/>
                <w:color w:val="auto"/>
                <w:sz w:val="20"/>
                <w:szCs w:val="20"/>
                <w:highlight w:val="none"/>
              </w:rPr>
            </w:pPr>
            <w:r>
              <w:rPr>
                <w:rFonts w:hint="eastAsia" w:ascii="宋体" w:hAnsi="宋体" w:cs="宋体"/>
                <w:color w:val="auto"/>
                <w:kern w:val="0"/>
                <w:sz w:val="20"/>
                <w:szCs w:val="20"/>
                <w:highlight w:val="none"/>
                <w:lang w:val="en-US" w:eastAsia="zh-CN" w:bidi="ar"/>
              </w:rPr>
              <w:t>中共党员；</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具有中级会计师及以上专业职称；</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熟悉企业财务管理、档案管理、资产管理、采购等方面专业知识。</w:t>
            </w:r>
          </w:p>
        </w:tc>
      </w:tr>
    </w:tbl>
    <w:p>
      <w:pPr>
        <w:keepNext w:val="0"/>
        <w:keepLines w:val="0"/>
        <w:pageBreakBefore w:val="0"/>
        <w:widowControl w:val="0"/>
        <w:tabs>
          <w:tab w:val="left" w:pos="645"/>
        </w:tabs>
        <w:kinsoku/>
        <w:wordWrap/>
        <w:overflowPunct/>
        <w:topLinePunct w:val="0"/>
        <w:autoSpaceDE/>
        <w:autoSpaceDN/>
        <w:bidi w:val="0"/>
        <w:adjustRightInd/>
        <w:snapToGrid/>
        <w:spacing w:line="260" w:lineRule="exact"/>
        <w:jc w:val="left"/>
        <w:textAlignment w:val="auto"/>
        <w:rPr>
          <w:rFonts w:hint="eastAsia" w:ascii="仿宋" w:hAnsi="仿宋" w:eastAsia="仿宋" w:cs="仿宋"/>
          <w:lang w:val="en-US" w:eastAsia="zh-CN"/>
        </w:rPr>
      </w:pPr>
    </w:p>
    <w:p>
      <w:pPr>
        <w:keepNext w:val="0"/>
        <w:keepLines w:val="0"/>
        <w:pageBreakBefore w:val="0"/>
        <w:widowControl w:val="0"/>
        <w:tabs>
          <w:tab w:val="left" w:pos="645"/>
        </w:tabs>
        <w:kinsoku/>
        <w:wordWrap/>
        <w:overflowPunct/>
        <w:topLinePunct w:val="0"/>
        <w:autoSpaceDE/>
        <w:autoSpaceDN/>
        <w:bidi w:val="0"/>
        <w:adjustRightInd/>
        <w:snapToGrid/>
        <w:spacing w:line="260" w:lineRule="exact"/>
        <w:jc w:val="left"/>
        <w:textAlignment w:val="auto"/>
        <w:rPr>
          <w:rFonts w:hint="eastAsia" w:ascii="仿宋" w:hAnsi="仿宋" w:eastAsia="仿宋" w:cs="仿宋"/>
          <w:lang w:val="en-US" w:eastAsia="zh-CN"/>
        </w:rPr>
      </w:pPr>
      <w:r>
        <w:rPr>
          <w:rFonts w:hint="eastAsia" w:ascii="仿宋" w:hAnsi="仿宋" w:eastAsia="仿宋" w:cs="仿宋"/>
          <w:lang w:val="en-US" w:eastAsia="zh-CN"/>
        </w:rPr>
        <w:t>备注：</w:t>
      </w:r>
    </w:p>
    <w:p>
      <w:pPr>
        <w:keepNext w:val="0"/>
        <w:keepLines w:val="0"/>
        <w:pageBreakBefore w:val="0"/>
        <w:widowControl w:val="0"/>
        <w:tabs>
          <w:tab w:val="left" w:pos="645"/>
        </w:tabs>
        <w:kinsoku/>
        <w:wordWrap/>
        <w:overflowPunct/>
        <w:topLinePunct w:val="0"/>
        <w:autoSpaceDE/>
        <w:autoSpaceDN/>
        <w:bidi w:val="0"/>
        <w:adjustRightInd/>
        <w:snapToGrid/>
        <w:spacing w:line="260" w:lineRule="exact"/>
        <w:jc w:val="left"/>
        <w:textAlignment w:val="auto"/>
        <w:rPr>
          <w:rFonts w:hint="eastAsia" w:ascii="仿宋" w:hAnsi="仿宋" w:eastAsia="仿宋" w:cs="仿宋"/>
          <w:lang w:val="en-US" w:eastAsia="zh-CN"/>
        </w:rPr>
      </w:pPr>
      <w:r>
        <w:rPr>
          <w:rFonts w:hint="eastAsia" w:ascii="仿宋" w:hAnsi="仿宋" w:eastAsia="仿宋" w:cs="仿宋"/>
          <w:lang w:val="en-US" w:eastAsia="zh-CN"/>
        </w:rPr>
        <w:t>1.“35周岁”是指年满18周岁且在1988年3月</w:t>
      </w:r>
      <w:r>
        <w:rPr>
          <w:rFonts w:hint="eastAsia" w:ascii="仿宋" w:hAnsi="仿宋" w:eastAsia="仿宋" w:cs="仿宋"/>
          <w:highlight w:val="none"/>
          <w:lang w:val="en-US" w:eastAsia="zh-CN"/>
        </w:rPr>
        <w:t>8</w:t>
      </w:r>
      <w:r>
        <w:rPr>
          <w:rFonts w:hint="eastAsia" w:ascii="仿宋" w:hAnsi="仿宋" w:eastAsia="仿宋" w:cs="仿宋"/>
          <w:lang w:val="en-US" w:eastAsia="zh-CN"/>
        </w:rPr>
        <w:t>日以后出生的人员；</w:t>
      </w:r>
    </w:p>
    <w:p>
      <w:pPr>
        <w:keepNext w:val="0"/>
        <w:keepLines w:val="0"/>
        <w:pageBreakBefore w:val="0"/>
        <w:widowControl w:val="0"/>
        <w:tabs>
          <w:tab w:val="left" w:pos="645"/>
        </w:tabs>
        <w:kinsoku/>
        <w:wordWrap/>
        <w:overflowPunct/>
        <w:topLinePunct w:val="0"/>
        <w:autoSpaceDE/>
        <w:autoSpaceDN/>
        <w:bidi w:val="0"/>
        <w:adjustRightInd/>
        <w:snapToGrid/>
        <w:spacing w:line="260" w:lineRule="exact"/>
        <w:jc w:val="left"/>
        <w:textAlignment w:val="auto"/>
        <w:rPr>
          <w:rFonts w:hint="eastAsia" w:ascii="仿宋" w:hAnsi="仿宋" w:eastAsia="仿宋" w:cs="仿宋"/>
          <w:lang w:val="en-US" w:eastAsia="zh-CN"/>
        </w:rPr>
      </w:pPr>
      <w:r>
        <w:rPr>
          <w:rFonts w:hint="eastAsia" w:ascii="仿宋" w:hAnsi="仿宋" w:eastAsia="仿宋" w:cs="仿宋"/>
          <w:lang w:val="en-US" w:eastAsia="zh-CN"/>
        </w:rPr>
        <w:t>2.从业经历计算截止日期为2024年3</w:t>
      </w:r>
      <w:r>
        <w:rPr>
          <w:rFonts w:hint="eastAsia" w:ascii="仿宋" w:hAnsi="仿宋" w:eastAsia="仿宋" w:cs="仿宋"/>
          <w:highlight w:val="none"/>
          <w:lang w:val="en-US" w:eastAsia="zh-CN"/>
        </w:rPr>
        <w:t>月8日</w:t>
      </w:r>
      <w:r>
        <w:rPr>
          <w:rFonts w:hint="eastAsia" w:ascii="仿宋" w:hAnsi="仿宋" w:eastAsia="仿宋" w:cs="仿宋"/>
          <w:lang w:val="en-US" w:eastAsia="zh-CN"/>
        </w:rPr>
        <w:t>；</w:t>
      </w:r>
      <w:r>
        <w:rPr>
          <w:rFonts w:hint="eastAsia" w:ascii="仿宋" w:hAnsi="仿宋" w:eastAsia="仿宋" w:cs="仿宋"/>
          <w:lang w:val="en-US" w:eastAsia="zh-CN"/>
        </w:rPr>
        <w:tab/>
      </w:r>
    </w:p>
    <w:p>
      <w:pPr>
        <w:keepNext w:val="0"/>
        <w:keepLines w:val="0"/>
        <w:pageBreakBefore w:val="0"/>
        <w:widowControl w:val="0"/>
        <w:tabs>
          <w:tab w:val="left" w:pos="645"/>
        </w:tabs>
        <w:kinsoku/>
        <w:wordWrap/>
        <w:overflowPunct/>
        <w:topLinePunct w:val="0"/>
        <w:autoSpaceDE/>
        <w:autoSpaceDN/>
        <w:bidi w:val="0"/>
        <w:adjustRightInd/>
        <w:snapToGrid/>
        <w:spacing w:line="260" w:lineRule="exact"/>
        <w:jc w:val="left"/>
        <w:textAlignment w:val="auto"/>
        <w:rPr>
          <w:rFonts w:hint="eastAsia" w:ascii="仿宋" w:hAnsi="仿宋" w:eastAsia="仿宋" w:cs="仿宋"/>
          <w:lang w:val="en-US" w:eastAsia="zh-CN"/>
        </w:rPr>
      </w:pPr>
      <w:r>
        <w:rPr>
          <w:rFonts w:hint="eastAsia" w:ascii="仿宋" w:hAnsi="仿宋" w:eastAsia="仿宋" w:cs="仿宋"/>
          <w:lang w:val="en-US" w:eastAsia="zh-CN"/>
        </w:rPr>
        <w:t>3.专业技术资格或执（职）业资格证书（以发文时间或发证时间为准），统一截止至2024年3</w:t>
      </w:r>
      <w:r>
        <w:rPr>
          <w:rFonts w:hint="eastAsia" w:ascii="仿宋" w:hAnsi="仿宋" w:eastAsia="仿宋" w:cs="仿宋"/>
          <w:highlight w:val="none"/>
          <w:lang w:val="en-US" w:eastAsia="zh-CN"/>
        </w:rPr>
        <w:t>月8日</w:t>
      </w:r>
      <w:r>
        <w:rPr>
          <w:rFonts w:hint="eastAsia" w:ascii="仿宋" w:hAnsi="仿宋" w:eastAsia="仿宋" w:cs="仿宋"/>
          <w:lang w:val="en-US" w:eastAsia="zh-CN"/>
        </w:rPr>
        <w:t>；</w:t>
      </w:r>
    </w:p>
    <w:p>
      <w:pPr>
        <w:keepNext w:val="0"/>
        <w:keepLines w:val="0"/>
        <w:pageBreakBefore w:val="0"/>
        <w:widowControl w:val="0"/>
        <w:tabs>
          <w:tab w:val="left" w:pos="645"/>
        </w:tabs>
        <w:kinsoku/>
        <w:wordWrap/>
        <w:overflowPunct/>
        <w:topLinePunct w:val="0"/>
        <w:autoSpaceDE/>
        <w:autoSpaceDN/>
        <w:bidi w:val="0"/>
        <w:adjustRightInd/>
        <w:snapToGrid/>
        <w:spacing w:line="260" w:lineRule="exact"/>
        <w:jc w:val="left"/>
        <w:textAlignment w:val="auto"/>
        <w:rPr>
          <w:rFonts w:hint="eastAsia" w:ascii="仿宋" w:hAnsi="仿宋" w:eastAsia="仿宋" w:cs="仿宋"/>
          <w:lang w:val="en-US" w:eastAsia="zh-CN"/>
        </w:rPr>
      </w:pPr>
      <w:r>
        <w:rPr>
          <w:rFonts w:hint="eastAsia" w:ascii="仿宋" w:hAnsi="仿宋" w:eastAsia="仿宋" w:cs="仿宋"/>
          <w:lang w:val="en-US" w:eastAsia="zh-CN"/>
        </w:rPr>
        <w:t>4.学历、学位以国家教育行政机关认可的相应证件文书为准，若以第二专业报名的，其第二专业须取得教育行政部门学历认定。招聘岗位所需专业由招聘单位及其上级主管部门参考国家教育行政部门高校专业目录设置及审查认定，大学本科专业参考《普通高等学校本科专业目录（2023年）》；硕士研究生专业参考《研究生教育学科专业目录（2022年）》。</w:t>
      </w:r>
    </w:p>
    <w:p>
      <w:pPr>
        <w:rPr>
          <w:rFonts w:hint="eastAsia" w:ascii="仿宋" w:hAnsi="仿宋" w:eastAsia="仿宋" w:cs="仿宋"/>
          <w:lang w:val="en-US" w:eastAsia="zh-CN"/>
        </w:rPr>
        <w:sectPr>
          <w:pgSz w:w="16838" w:h="11906" w:orient="landscape"/>
          <w:pgMar w:top="1800" w:right="1440" w:bottom="1800" w:left="1440" w:header="851" w:footer="992" w:gutter="0"/>
          <w:cols w:space="720" w:num="1"/>
          <w:docGrid w:type="lines" w:linePitch="312" w:charSpace="0"/>
        </w:sectPr>
      </w:pPr>
    </w:p>
    <w:p>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5C00519"/>
    <w:multiLevelType w:val="singleLevel"/>
    <w:tmpl w:val="45C00519"/>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UyZGRjZDcyZDYyZGFmZGU1OGJjOWNlODM0OTVkYjUifQ=="/>
  </w:docVars>
  <w:rsids>
    <w:rsidRoot w:val="343D38D0"/>
    <w:rsid w:val="343D38D0"/>
    <w:rsid w:val="60BD5D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2024-03-08T07:06:00Z</dcterms:created>
  <dc:creator>asus</dc:creator>
  <cp:lastModifiedBy>asus</cp:lastModifiedBy>
  <dcterms:modified xsi:type="dcterms:W3CDTF">2024-03-08T07:06:56Z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03F405C8FC2F4FEDACDB17C711823764_13</vt:lpwstr>
  </property>
</Properties>
</file>