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新疆生产建设兵团2023年度考试录用公务员公共科目笔试考试大纲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为便于报考者充分了解新疆生产建设兵团2023年度考试录用公务员公共科目笔试，特制定本大纲。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一、笔试内容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新疆生产建设兵团2023年度考试录用公务员公共科目笔试分为行政职业能力测验和申论两科，主要测查从事公务员工作应当具备的基本能力和基本素质，特别是用习近平新时代中国特色社会主义思想指导分析和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公共科目笔试全部采用闭卷考试的方式。其中，行政职业能力测验为客观性试题，考试时限120分钟，满分100分。申论为主观性试题，考试时限150分钟，满分100分。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二、行政职业能力测验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行政职业能力测验主要包括常识判断、言语理解与表达、数量关系、判断推理和资料分析等部分。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常识判断主要测查报考者在政治、经济、文化、科技等方面应知应会的基本知识以及运用这些知识进行分析判断的基本能力。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例题：发展必须是科学发展，必须坚定不移贯彻创新、协调、绿色、开放、共享的发展理念。下列与之有关的说法，正确的有几项？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①创新发展注重的是解决发展动力问题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②协调发展注重的是解决社会公平正义问题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③绿色发展注重的是解决人与自然和谐共生问题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④开放发展注重的是解决发展内外联动问题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⑤共享发展注重的是解决发展不平衡问题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文段最后一句话中的“这”指的是：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A．自然共同体意识的树立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B．对自然共同体的义务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C．热爱自然的感情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D．重建人与自然关系的愿望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A．地域性   国际性             B．实践性   理论性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C．先进性   创新性             D．特殊性   普遍性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数量关系主要测查报考者理解、把握事物间量化关系和解决数量关系问题的能力，主要涉及数据关系的分析、推理、判断、运算等。常用题型有数字推理和数学运算两种。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   2   4   8   16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A．16         B．24          C．32          D．36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（答案：C。原数列是一个等比数列，后一项是前一项的2倍，故正确答案为C。）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数学运算：每道题给出一个算术式子或者表达数量关系的一段文字，要求报考者熟练运用加、减、乘、除等基本运算法则，并利用其他基本数学知识计算或推出结果。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例题：某单位的会议室有5排共40个座位，每排座位数相同。小张和小李随机入座，则他们坐在同一排的概率：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A．不高于15%                 B．高于15%但低于20%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C．正好为20%                 D．高于20%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判断推理主要测查报考者对各种事物关系的分析推理能力，主要涉及对图形、语词概念、事物关系和文字材料的理解、比较、组合、演绎和归纳等。常用题型有图形推理、定义判断、类比推理、逻辑判断四种。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图形推理：每道题给出一套或两套图形，要求报考者通过观察分析找出图形排列的规律，选出符合规律的一项。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bookmarkStart w:id="0" w:name="_GoBack"/>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467350" cy="1177925"/>
            <wp:effectExtent l="0" t="0" r="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67350" cy="1177925"/>
                    </a:xfrm>
                    <a:prstGeom prst="rect">
                      <a:avLst/>
                    </a:prstGeom>
                    <a:noFill/>
                    <a:ln w="9525">
                      <a:noFill/>
                    </a:ln>
                  </pic:spPr>
                </pic:pic>
              </a:graphicData>
            </a:graphic>
          </wp:inline>
        </w:drawing>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A．①②⑥，③④⑤          B．①③④，②⑤⑥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C．①④⑤，②③⑥          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（答案：A。题干中每个图形中都有多个封闭图形和线段，考虑二者之间的位置关系。正确答案为A。）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定义判断：每道题先对相关概念进行定义，然后分别列出四种情况，要求报考者严格依据定义选出一个最符合或最不符合该定义的答案。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根据上述定义，下列选项中应添加“批复”的是：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A．《国务院办公厅关于进一步加强资本市场中小投资者合法权益保护工作的____》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B．《国务院办公厅关于黑龙江双鸭山经济开发区升级为国家级经济技术开发区的____》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C．《国务院关于同意设立陕西西咸新区的____》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D．《国务院关于在我国统一实行法定计量单位的____》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（答案：C。根据题干，“批复”的定义要点是：答复下级机关请示事项。C选项中，同意设立陕西西咸新区，属于答复下级机关请示，符合定义。因此，正确答案为C。）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类比推理：给出一组相关的词，要求通过观察分析，在备选答案中找出一组与之在逻辑关系上最为贴近或相似的词。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例题：设计︰发放︰问卷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A．复制︰修改︰文字           B．预习︰复习︰考试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C．播放︰快进︰磁带           D．制定︰执行︰政策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逻辑判断：每道题给出一段陈述，这段陈述被假设是正确的，不容置疑的。要求报考者根据这段陈述，运用一定的逻辑推论，选择一个最恰当的答案。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A．一种文明如果没有长期自我封闭，就不会走向衰落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B．一种文明如果同其他文明交流互鉴、取长补短，就能保持旺盛生命活力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C．一种文明如果没有同其他文明交流互鉴，就不能保持旺盛生命活力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D．一种文明如果没有保持旺盛生命活力，它就没有同其他文明取长补短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资料分析主要测查报考者对文字、数字、图表等统计性资料的综合理解与分析加工能力。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例题：2019年全国地铁运营线路长度达5181公里，占城轨交通运营线路总里程的76.8%。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2019年末，我国城轨交通配属地铁列车6178列，全年实现地铁客运量227.76亿人次。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tbl>
      <w:tblPr>
        <w:tblW w:w="10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47"/>
        <w:gridCol w:w="2377"/>
        <w:gridCol w:w="1688"/>
        <w:gridCol w:w="1732"/>
        <w:gridCol w:w="2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10470" w:type="dxa"/>
            <w:gridSpan w:val="5"/>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ascii="serif" w:hAnsi="serif" w:eastAsia="serif" w:cs="serif"/>
                <w:sz w:val="32"/>
                <w:szCs w:val="32"/>
                <w:bdr w:val="none" w:color="auto" w:sz="0" w:space="0"/>
                <w:lang w:val="en-US"/>
              </w:rPr>
              <w:t>2019</w:t>
            </w:r>
            <w:r>
              <w:rPr>
                <w:rFonts w:ascii="方正魏碑_GBK" w:hAnsi="方正魏碑_GBK" w:eastAsia="方正魏碑_GBK" w:cs="方正魏碑_GBK"/>
                <w:sz w:val="32"/>
                <w:szCs w:val="32"/>
                <w:bdr w:val="none" w:color="auto" w:sz="0" w:space="0"/>
              </w:rPr>
              <w:t>年我国部分城市地铁运营状况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6"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32"/>
                <w:szCs w:val="32"/>
                <w:bdr w:val="none" w:color="auto" w:sz="0" w:space="0"/>
                <w:lang w:val="en-US" w:eastAsia="zh-CN" w:bidi="ar"/>
              </w:rPr>
              <w:t> </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运营线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路长度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（公里）</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运营线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路条数（条）</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配属地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铁列车（列）</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客运量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（亿人次）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上海</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669.5</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15</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898</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北京</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637.6</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20</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1001</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广州</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489.4</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13</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510</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武汉</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338.4</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9</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435</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深圳</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304.4</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8</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384</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成都</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302.2</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7</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410</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重庆</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230.0</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7</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223</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天津</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178.6</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5</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178</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南京</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176.8</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5</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203</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苏州</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165.9</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4</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173</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西安</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158.0</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5</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203</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郑州</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151.7</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4</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151</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1742"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32"/>
                <w:szCs w:val="32"/>
                <w:bdr w:val="none" w:color="auto" w:sz="0" w:space="0"/>
              </w:rPr>
              <w:t>杭州</w:t>
            </w:r>
          </w:p>
        </w:tc>
        <w:tc>
          <w:tcPr>
            <w:tcW w:w="2370"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270"/>
              <w:jc w:val="center"/>
            </w:pPr>
            <w:r>
              <w:rPr>
                <w:rFonts w:hint="default" w:ascii="Times New Roman" w:hAnsi="Times New Roman" w:cs="Times New Roman"/>
                <w:sz w:val="32"/>
                <w:szCs w:val="32"/>
                <w:bdr w:val="none" w:color="auto" w:sz="0" w:space="0"/>
                <w:lang w:val="en-US"/>
              </w:rPr>
              <w:t>130.9</w:t>
            </w:r>
          </w:p>
        </w:tc>
        <w:tc>
          <w:tcPr>
            <w:tcW w:w="1683"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4</w:t>
            </w:r>
          </w:p>
        </w:tc>
        <w:tc>
          <w:tcPr>
            <w:tcW w:w="1727" w:type="dxa"/>
            <w:tcBorders>
              <w:top w:val="nil"/>
              <w:left w:val="nil"/>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0"/>
              <w:jc w:val="center"/>
            </w:pPr>
            <w:r>
              <w:rPr>
                <w:rFonts w:hint="default" w:ascii="Times New Roman" w:hAnsi="Times New Roman" w:cs="Times New Roman"/>
                <w:sz w:val="32"/>
                <w:szCs w:val="32"/>
                <w:bdr w:val="none" w:color="auto" w:sz="0" w:space="0"/>
                <w:lang w:val="en-US"/>
              </w:rPr>
              <w:t>174</w:t>
            </w:r>
          </w:p>
        </w:tc>
        <w:tc>
          <w:tcPr>
            <w:tcW w:w="2828" w:type="dxa"/>
            <w:tcBorders>
              <w:top w:val="nil"/>
              <w:left w:val="nil"/>
              <w:bottom w:val="single" w:color="auto"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360"/>
              <w:jc w:val="center"/>
            </w:pPr>
            <w:r>
              <w:rPr>
                <w:rFonts w:hint="default" w:ascii="Times New Roman" w:hAnsi="Times New Roman" w:cs="Times New Roman"/>
                <w:sz w:val="32"/>
                <w:szCs w:val="32"/>
                <w:bdr w:val="none" w:color="auto" w:sz="0" w:space="0"/>
                <w:lang w:val="en-US"/>
              </w:rPr>
              <w:t>6.3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0"/>
        <w:jc w:val="center"/>
        <w:rPr>
          <w:rFonts w:hint="eastAsia" w:ascii="宋体" w:hAnsi="宋体" w:eastAsia="宋体" w:cs="宋体"/>
          <w:i w:val="0"/>
          <w:iCs w:val="0"/>
          <w:caps w:val="0"/>
          <w:color w:val="000000"/>
          <w:spacing w:val="0"/>
          <w:sz w:val="21"/>
          <w:szCs w:val="21"/>
        </w:rPr>
      </w:pPr>
      <w:r>
        <w:rPr>
          <w:rFonts w:ascii="楷体" w:hAnsi="楷体" w:eastAsia="楷体" w:cs="楷体"/>
          <w:i w:val="0"/>
          <w:iCs w:val="0"/>
          <w:caps w:val="0"/>
          <w:color w:val="333333"/>
          <w:spacing w:val="0"/>
          <w:sz w:val="32"/>
          <w:szCs w:val="32"/>
          <w:bdr w:val="none" w:color="auto" w:sz="0" w:space="0"/>
          <w:shd w:val="clear" w:fill="FFFFFF"/>
        </w:rPr>
        <w:t>注：除客运量为全年数值外，其余指标为年末时点值。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（1）2014～2019年间，全国地铁运营线路长度同比增长20%以上的年份有几个？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（2）以下城市中，2019年末平均每条运营的地铁线路配属地铁列车数最多的是：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A．广州                                   B．武汉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C．成都                                   D．南京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三、申论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申论试卷由注意事项、给定资料和作答要求三部分组成。申论考试按照兵团及师市综合管理类职位、团场综合管理类职位和行政执法类职位，分别命制试题。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兵团和师市综合管理类职位申论考试主要测查报考者的阅读理解能力、综合分析能力、提出和解决问题能力、文字表达能力。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阅读理解能力--全面把握给定资料的相关内容，准确理解给定资料的含义，准确提炼事实所包含的观点，并揭示所反映的本质问题。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综合分析能力--对给定资料的全部或部分的内容、观点或问题进行分析和归纳，多角度地思考资料内容，作出合理的推断或评价。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提出和解决问题能力--准确理解把握给定资料所反映的问题，提出解决问题的措施或办法。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文字表达能力--熟练使用指定的语种，运用说明、陈述、议论等方式，准确规范、简明畅达地表述思想观点。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团场综合管理类职位申论考试主要测查报考者的阅读理解能力、贯彻执行能力、解决问题能力和文字表达能力。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阅读理解能力--能够理解给定资料的主要内容，把握给定资料各部分之间的关系，对给定资料所涉及的观点、事实作出恰当的解释。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贯彻执行能力--能够准确理解工作目标和组织意图，遵循依法行政的原则，根据客观实际情况，及时有效地完成任务。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解决问题能力--对给定资料所反映的问题进行分析，并提出解决的措施或办法。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文字表达能力--熟练使用指定的语种，对事件、观点进行准确合理的说明、陈述或阐释。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行政执法类职位申论考试主要测查报考者的阅读理解能力、依法办事能力、公共服务能力和文字表达能力。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阅读理解能力--准确理解归纳给定资料的主要内容，对所涉及的观点和事实进行恰当的解释，并作出合理的推断。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依法办事能力--遵循依法行政的原则，综合运用恰当有效的方法完成任务、解决问题、实现目标。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公共服务能力--能够全面准确了解公众需求和愿望，灵活运用各种措施和办法为公众提供优质、高效、便捷的服务。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文字表达能力--熟练使用指定的语种，对事件、观点进行准确合理的说明、陈述或阐释。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四、作答要求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（一）行政职业能力测验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报考者务必携带的考试文具包括黑色字迹的钢笔或签字笔、2B铅笔和橡皮。报考者必须用2B铅笔在指定位置上填涂准考证号，并在答题卡上作答。在试题本或其他位置作答一律无效。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（二）申论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报考者务必携带的考试文具包括黑色字迹的钢笔或签字笔、2B铅笔和橡皮。报考者必须用2B铅笔在指定位置上填涂准考证号，用钢笔或签字笔在答题卡指定位置上作答。在非指定位置作答或用铅笔作答一律无效。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方正魏碑_GBK">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11D01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2023-01-04T02:33:01Z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49EB96B9329044AA842932EBEBCB100E</vt:lpwstr>
  </property>
</Properties>
</file>