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sz w:val="32"/>
          <w:szCs w:val="32"/>
        </w:rPr>
      </w:pPr>
      <w:r>
        <w:rPr>
          <w:rFonts w:hint="eastAsia" w:ascii="黑体" w:hAnsi="黑体" w:eastAsia="黑体" w:cs="黑体"/>
          <w:sz w:val="32"/>
          <w:szCs w:val="32"/>
        </w:rPr>
        <w:t>附件1</w:t>
      </w:r>
    </w:p>
    <w:p>
      <w:pPr>
        <w:spacing w:before="156" w:beforeLines="50" w:line="590"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szCs w:val="44"/>
          <w:lang w:val="en-US" w:eastAsia="zh-CN"/>
        </w:rPr>
        <w:t>2023年郑州航空港经济综合实验区</w:t>
      </w:r>
      <w:r>
        <w:rPr>
          <w:rFonts w:hint="eastAsia" w:ascii="方正小标宋简体" w:hAnsi="方正小标宋简体" w:eastAsia="方正小标宋简体" w:cs="方正小标宋简体"/>
          <w:sz w:val="44"/>
        </w:rPr>
        <w:t>聘任制公务员招聘职位表</w:t>
      </w:r>
    </w:p>
    <w:p>
      <w:pPr>
        <w:bidi w:val="0"/>
        <w:rPr>
          <w:rFonts w:hint="eastAsia"/>
          <w:kern w:val="2"/>
          <w:sz w:val="21"/>
          <w:szCs w:val="22"/>
          <w:lang w:val="en-US" w:eastAsia="zh-CN" w:bidi="ar-SA"/>
        </w:rPr>
      </w:pPr>
    </w:p>
    <w:tbl>
      <w:tblPr>
        <w:tblStyle w:val="7"/>
        <w:tblpPr w:leftFromText="180" w:rightFromText="180" w:vertAnchor="text" w:horzAnchor="page" w:tblpX="970" w:tblpY="139"/>
        <w:tblOverlap w:val="never"/>
        <w:tblW w:w="15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72"/>
        <w:gridCol w:w="975"/>
        <w:gridCol w:w="825"/>
        <w:gridCol w:w="765"/>
        <w:gridCol w:w="3015"/>
        <w:gridCol w:w="1095"/>
        <w:gridCol w:w="1455"/>
        <w:gridCol w:w="2940"/>
        <w:gridCol w:w="100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序</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号</w:t>
            </w:r>
          </w:p>
        </w:tc>
        <w:tc>
          <w:tcPr>
            <w:tcW w:w="1072"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聘任</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单位</w:t>
            </w:r>
          </w:p>
        </w:tc>
        <w:tc>
          <w:tcPr>
            <w:tcW w:w="97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职位</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名称</w:t>
            </w:r>
          </w:p>
        </w:tc>
        <w:tc>
          <w:tcPr>
            <w:tcW w:w="82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职位</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代码</w:t>
            </w:r>
          </w:p>
        </w:tc>
        <w:tc>
          <w:tcPr>
            <w:tcW w:w="76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聘任</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名额</w:t>
            </w:r>
          </w:p>
        </w:tc>
        <w:tc>
          <w:tcPr>
            <w:tcW w:w="301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职位职责</w:t>
            </w:r>
          </w:p>
        </w:tc>
        <w:tc>
          <w:tcPr>
            <w:tcW w:w="109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学历学位</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条件</w:t>
            </w:r>
          </w:p>
        </w:tc>
        <w:tc>
          <w:tcPr>
            <w:tcW w:w="145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专业要求</w:t>
            </w:r>
          </w:p>
        </w:tc>
        <w:tc>
          <w:tcPr>
            <w:tcW w:w="2940"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其他资格条件</w:t>
            </w:r>
          </w:p>
        </w:tc>
        <w:tc>
          <w:tcPr>
            <w:tcW w:w="1005" w:type="dxa"/>
            <w:noWrap w:val="0"/>
            <w:vAlign w:val="center"/>
          </w:tcPr>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聘任</w:t>
            </w:r>
          </w:p>
          <w:p>
            <w:pPr>
              <w:widowControl/>
              <w:jc w:val="center"/>
              <w:rPr>
                <w:rFonts w:hint="eastAsia" w:ascii="黑体" w:hAnsi="黑体" w:eastAsia="黑体" w:cs="黑体"/>
                <w:color w:val="auto"/>
                <w:kern w:val="0"/>
                <w:szCs w:val="24"/>
              </w:rPr>
            </w:pPr>
            <w:r>
              <w:rPr>
                <w:rFonts w:hint="eastAsia" w:ascii="黑体" w:hAnsi="黑体" w:eastAsia="黑体" w:cs="黑体"/>
                <w:color w:val="auto"/>
                <w:kern w:val="0"/>
                <w:szCs w:val="24"/>
              </w:rPr>
              <w:t>期限</w:t>
            </w:r>
          </w:p>
        </w:tc>
        <w:tc>
          <w:tcPr>
            <w:tcW w:w="1310" w:type="dxa"/>
            <w:noWrap w:val="0"/>
            <w:vAlign w:val="center"/>
          </w:tcPr>
          <w:p>
            <w:pPr>
              <w:widowControl/>
              <w:jc w:val="center"/>
              <w:rPr>
                <w:rFonts w:hint="eastAsia" w:ascii="黑体" w:hAnsi="黑体" w:eastAsia="黑体" w:cs="黑体"/>
                <w:color w:val="auto"/>
                <w:kern w:val="0"/>
                <w:szCs w:val="24"/>
                <w:lang w:eastAsia="zh-CN"/>
              </w:rPr>
            </w:pPr>
            <w:r>
              <w:rPr>
                <w:rFonts w:hint="eastAsia" w:ascii="黑体" w:hAnsi="黑体" w:eastAsia="黑体" w:cs="黑体"/>
                <w:color w:val="auto"/>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5" w:hRule="atLeast"/>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郑州航空港经济综合实验区经济发展局（统计局）</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总经济师</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H202301</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vertAlign w:val="baseline"/>
                <w:lang w:val="en-US" w:eastAsia="zh-CN"/>
              </w:rPr>
              <w:t>1</w:t>
            </w:r>
          </w:p>
        </w:tc>
        <w:tc>
          <w:tcPr>
            <w:tcW w:w="30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1.负责分析研究国内外经济形势和上级关于经济工作重大决策部署，提出航空港区高质量发展的框架性意见；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2.负责跟踪国家级开发区、临空经济示范区等国内一流功能区发展，持续开展比较研究；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3.负责组织编制全区经济社会发展规划和年度计划、产业发展规划并组织实施，统筹优化重大生产力布局；</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4.负责建立完善经济运行分析机制、经济运行监测网络，深入开展经济运行分析研判并提出对策建议；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5.负责综合性政策拟订、区域发展战略实施等工作。</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应用经济学类</w:t>
            </w:r>
          </w:p>
        </w:tc>
        <w:tc>
          <w:tcPr>
            <w:tcW w:w="29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1.45周岁以下；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2.具有高级经济师职称；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3.现在相关岗位担任中层以上职务，有5年以上从事宏观经济、区域经济、产业经济、经济统计研究或管理工作经验；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vertAlign w:val="baseline"/>
                <w:lang w:val="en-US" w:eastAsia="zh-CN"/>
              </w:rPr>
              <w:t>4.特别优秀的可适当放宽条件。</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vertAlign w:val="baseline"/>
                <w:lang w:val="en-US" w:eastAsia="zh-CN"/>
              </w:rPr>
              <w:t>3年（含试用期6个月）</w:t>
            </w:r>
          </w:p>
        </w:tc>
        <w:tc>
          <w:tcPr>
            <w:tcW w:w="131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郑州航空港经济综合实验区经济发展局（统计局）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总统计师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H202302</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1.负责工业、服务业、数字经济、航空物流、新兴产业、外经外贸等经济运行情况和监测分析，对经济运行的重大问题提出措施建议；                                  </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2.负责经济发展方向、产业结构调整等重大政策的研究，协调开展区域合作；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3.组织开展对区属国有企业投融资项目的统计分析，以及重大投融资项目评价或统计监督工作；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4.组织实施区域经济、产业发展等经济活动的统计监测和评价；</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5.负责统计调查、统计信息管理、数量分析、市场研究、质量控制以及高新技术产品开发、研究、应用和管理工作；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6.对国民经济、社会发展、科技进步和资源环境等情况进行统计分析、统计预测和统计监督，提供统计信息和咨询建议。</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应用经济学类、统计学类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2.具有高级统计师职称；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3.现在相关岗位担任中层以上职务，有5年以上经济运行分析，工业、服务业、数字经济产业发展等方面的工作经历；</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郑州市自然资源和规划局郑州航空港经济综合实验区分局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总规划师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H202303</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1.负责全区城市设计、编制国土空间规划；</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2.负责区域内重点项目选址与规划设计，提出优化建议；</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3.负责研究涉及空间规划和建设方面的重大项目、城市建设重大问题并提供规划决策参考；</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4.负责规划相关技术标准和政策研究。</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城乡规划学类、城乡规划类、城市规划与设计专业</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2.具有规划、建筑类高级以上专业技术职称和注册规划师执业资格证；</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空间规划、城乡规划、土地利用规划相关工作经验，曾担任城乡规划、国土规划、空间规划设计单位项目负责人，参与过地级市以上城市总体规划、土地利用总体规划、国土空间规划项目；或牵头主持编制3个以上、总金额1000万元以上的规划设计案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郑州航空港经济综合实验区建设局（郑州市生态环境局郑州航空港经济综合实验区分局）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总工程师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H202304</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1.负责开展航空港区城市建设提升、生态城市建设和新型城镇化相关工作；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2.负责建筑节能减排、新技术新材料推广应用工作；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3.负责全区建设工程质量监督和技术工作的总体指导、重大施工安全和质量事故调查处理相关工作;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4.针对航空港区城市建设和片区开发，研究制定相关政策、建设标准和技术标准；</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5.负责勘察设计、建设工程技术管理工作。</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建筑学类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2.具有建筑类高级工程师职称，具有国家注册城乡规划师或国家注册一级建筑师资格或一级建造师资格；</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3.现在相关岗位担任中层以上职务，有5年以上城市规划、建筑设计相关工作经验；曾主持完成过1处省会以上或多次主持完成地级市的城市规划项目或城市设计、公共建筑或大型城市综合体项目设计作品；</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郑州航空港经济综合实验区经济发展局（统计局）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物流枢纽高级专员</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H202305</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1.负责研究枢纽经济发展问题，提升物流枢纽、产业和城市互动发展水平，推动枢纽经济发展；</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2.负责研究枢纽能级提升问题，提高枢纽连通性、融合性和联动性，完善“通道+枢纽+网络”物流运行体系；</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3.负责研究枢纽协同发展问题，促进各枢纽无缝衔接，互动发展，提高枢纽综合效益；</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4.负责研究物流业与制造业融合发展问题，推动物流业和制造业形成相互支撑、共同发展的良性互动局面；</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5.负责研究现代物流产业链发展问题，建立健全现代物流产业招商地图，完善现代物流产业生态，推动枢纽偏好型产业集群发展；</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6.负责研究国内外大型物流枢纽发展策略和发展经验，提出物流枢纽发展策略和政策措施。</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产业经济学、区域经济学、国际贸易学、物流工程专业</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2.具有相关专业副高级以上职称；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3.现在相关岗位担任中层以上职务，有5年以上物流枢纽领域相关工作经历；</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6</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郑州航空港经济综合实验区财政审计局（金融工作办公室）</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投融资高级专员</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H202306</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1.负责对国家金融工作方针、政策及相关法律法规研究，制定航空港区金融业长期发展战略，并组织实施；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2.负责航空港区金融中心建设，推动引进金融机构在航空港区集聚，进一步引进银行、保险、证券、期货、信托、资产管理、三方支付、商业保理、融资租赁等各类金融机构；</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3.负责建立健全投融资体系和工作机制，指导、规范、监管政府性引导基金投资运作，投后监管，推动设立天使、创投、S基金等各类子基金；</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4.负责航空港区双鹤湖基金小镇建设，制定实施私募基金机构发展扶持政策及日常监管，推动各类私募基金机构入区发展壮大，重点推进天使投资、创业投资行业；</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5.负责推动金融科技创新与应用，优化金融服务模式，优化科创金融市场体系，推进科创金融交流与合作，优化科创金融生态环境。</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经济学类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2.具有经济类副高以上职称；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3.现在相关岗位担任中层以上职务，有5年以上金融、投融资相关工作经历；</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4.具有区域金融产业、政府引导基金、私募基金产业发展规划、建设、相关政策制定，以及银行业、保险业、证券业等金融机构及私募基金机构的引进、企业融资协调、推动企业上市工作经验的优先；</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郑州航空港经济综合实验区综保区和口岸服务局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口岸经济高级专员</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H202307</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1.负责对国家综合保税区和国际陆港政策的研究，制定河南新郑综合保税区和河南郑州国际陆港中长期发展战略，并组织实施；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2.跟踪综合保税区、内陆港口发展趋势，实时分析河南新郑综合保税区、河南郑州国际陆港出现的新情况新问题，提出对策意见；</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3.负责编制综合保税区招商方案，建立与发达地区政府机构、行业协会、商会等渠道的长期合作机制，持续提升综合保税区进出口额；</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4.负责综合保税区和国际陆港业态创新，推动保税维修、研发、租赁等新兴业态发展，确保任期内综保区绩效考核居全国A类排名；</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5.负责优化口岸营商环境工作，研究制定我区口岸营商环境优化提升方案并推动实施，确保任期内口岸营商环境排名居全省前列，进一步提升口岸经济活力。</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经济学类、工学类、管理学类，或有国外留学经历且与以上三个专业相近的专业</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2.具有经济类副高以上职称；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3.现在相关岗位担任中层以上职务，有5年以上海关特殊监管区域或口岸相关岗位工作经验；熟悉国内外贸易政策法规、海关特殊监管区或口岸规划建设工作的优先；</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8</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郑州航空港经济综合实验区投资促进局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合规风控高级专员</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H202308</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1.为推动产业建设提供风险控制的法律建议，对工作推进的合规性予以监督；</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2.处理合规风控事务，对行业发展中涉及法律法规事项进行研究，并提出意见建议和解决方法；</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3.参与规范性文件制定和项目谈判，对潜在风险提出合理化建议；</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4.负责对接委托第三方会计师事务所、律师事务所等咨询机构，协调解决产业建设中的涉诉事务。</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法学类、应用经济学类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2.具有法律职业资格证书；</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3.现在相关岗位担任中层以上职务，有5年以上律师工作经验，或5年以上大型企业法律顾问工作经验；精通商法、公司法、经济法；有大型企业合规风控工作经验的优先；</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郑州航空港经济综合实验区投资促进局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会展营销高级策划师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H202309</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1.负责组织航空港区会展经济产业等领域的发展研究，制定会展发展战略和计划，提出未来会展经济发展重点方向和实施路径，并组织实施；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2.负责建立航空港区会展扶持政策体系和工作机制，指导、规范、监管区域会展业快速健康发展；</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3.负责引进国际会展组织、国内知名会展公司和国际性展会和全国流动展会落地我区；</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4.负责牵头开展国内外会展机构和会展活动的综合协调服务；</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5.负责培育航空港区自有展会项目，打造航空港区自有的会展品牌；</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6.负责组织策划航空港区会展经济领域的重大项目、重大活动，并组织实施；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7.负责航空港区会展在国内外的宣传推广，提高我区会展的知名度和影响力。</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经济类、会展经济与管理专业</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2.具有相关行业副高级以上职称；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3.现在相关岗位担任中层以上职务，有5年以上会展行业管理、会展场馆建设及运营管理、大型展会主承办工作经验；</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郑州航空港经济综合实验区投资促进局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生物医药高级工程师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H202310</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1.负责绘制医药行业细分领域产业地图，形成资源数据库，做好生物医药大数据库开发，为生物医药招商及项目合作提供数据支撑；</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2.负责搜集、更新全国各地的生物医药产业政策，把握生物医药产业定位、重点发展方向和实施路径，提出建设性主张，为航空港区生物医药的政策制定提供依据；</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3.负责研究梳理生物医药产业领域头部企业、优质企业等信息，完成相关招引项目可行性评估、政策载体匹配、项目谈判等，推动优质项目落地；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4.负责对生物医药产业发展、重点企业核心能力塑造、技术路线演变等方面进行产业调度、资源整合、研发指导等工作；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5.负责推进生物医药产业领域的院校地合作，推动先进技术转移孵化，指导各项研发产品的产业化方向等工作;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6.负责策划生物医药产业领域的重大项目、重大活动，并参与实施。</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药学类、化工与制药类、生物制药专业、生物技术与工程专业</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2.具有相关行业副高级以上职称；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3.现在相关岗位担任中层以上职务，有5年以上生物医药相关领域工作经验；有运作生物医药大型项目落地经验的优先；</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11</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郑州航空港经济综合实验区投资促进局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航空航天卫星高级工程师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H202311</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1.负责组织航空港区航空航天卫星产业等领域的发展研究，制定我区航空航天卫星产业建圈强链方案，提出未来产业发展重点方向和实施路径，并组织实施；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2.负责全面梳理航空航天卫星产业领域头部企业、细分领域优质企业等信息，完成相关项目可行性评估，政策载体匹配、项目谈判等，推动优质项目落地；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3.负责策划航空航天卫星产业领域的重大项目、重大活动，并组织实施；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4.负责深入推进航空航天卫星产业领域的院校地合作，深度挖掘增量资源，推动先进技术在区内转移孵化。</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航空宇航科学与技术类、航空航天类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2.具有相关行业副高级以上职称；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3.现在相关岗位担任中层以上职务，有5年以上航空、航天、卫星相关领域工作经验；有运作航空、航天、卫星领域大型项目落地经验的优先；</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12</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郑州航空港经济综合实验区科技工信局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半导体与新材料高级工程师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H202312</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1.负责组织航空港区半导体与新材料产业领域的发展研究，制定我区半导体与新材料产业建圈强链方案，提出未来产业发展重点方向和实施路径，并组织实施； </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2.负责全面梳理半导体与新材料产业领域头部企业、细分领域优质企业等信息，组织政策载体匹配、项目谈判等，推动优质项目落地；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3.负责区内重大半导体与新材料产业项目技术能力研判，组织行业专家完成相关项目可行性评估，组织区内半导体与新材料企业进行产业、技术合作；</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4.负责半导体与新材料产业领域高端技术人才联络、交流工作，深入推进半导体与新材料产业领域的院校地合作，筹备区内半导体与新材料行业科研机构的建立，深度挖掘增量资源，推动先进技术在区内转移孵化； </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5.负责策划半导体与新材料产业领域的重大项目、重大活动，并组织实施。 </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电子信息类、材料与化工类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2.具有相关行业副高级以上职称；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3.现在相关岗位担任中层以上职务，有5年以上半导体与新材料工作经验；</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13</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郑州航空港经济综合实验区科技工信局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新能源汽车高级工程师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H202313</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1.研究拟订并组织实施促进新能源汽车产业行业发展的相关政策和措施；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2.聚焦打造千亿级新能源汽车产业集群，研究制定航空港区新能源汽车产业发展规划并组织实施，统筹监测行业运行情况，协调解决行业发展重大问题；</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3.参与新能源汽车产业投资和重大项目审核论证，协调解决项目推进过程中的具体问题；</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4.负责组织推进新能源汽车行业内企业技术创新、重大技术改造；</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5.负责组织、策划新能源汽车产业招商引资、招才引智、市场开拓，推进新能源汽车和零部件配套体系构建，推进行业产业链、产业集群发展，加快汽车后市场发展。</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机械工程类、能源动力类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2.具有汽车行业高级工程师以上职称；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3.现在相关岗位担任中层以上职务，有5年以上新能源汽车研发制造相关岗位工作经验；</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14</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郑州航空港经济综合实验区科技工信局</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电子信息与数字经济高级</w:t>
            </w:r>
          </w:p>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H202314</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1.负责研究电子信息与数字经济产业，结合航空港区产业发展实际，制定产业发展规划；</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2.负责提出航空港区电子信息与数字经济产业发展措施，制定产业发展相关政策并组织实施；</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全面梳理电子信息与数字经济产业领域头部企业、优质企业等信息，对拟招引企业技术路线可行性、项目实施可行性开展研究，规避投资风险、推动投资项目落地，每年招引产业头部企业不少于1家，招引优质产业链企业不少于5家；</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4.推动相关产业链建设，对头部企业、优质企业产业链条进行深入分析，制定产业图谱，推进电子信息和数字经济产业全链条发展。</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电子信息类、信息与通信工程类、计算机科学与技术类、软件工程类</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2.具有相关行业副高级以上职称；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3.现在相关岗位担任中层以上职务，有5年以上数字经济、电子信息、智慧城市、大数据、云计算、物联网、区块链、人工智能、5G通信等新兴技术岗位工作经验；</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p>
      <w:pPr>
        <w:bidi w:val="0"/>
        <w:jc w:val="left"/>
        <w:rPr>
          <w:rFonts w:hint="eastAsia"/>
          <w:lang w:val="en-US" w:eastAsia="zh-CN"/>
        </w:rPr>
      </w:pPr>
    </w:p>
    <w:p>
      <w:pPr>
        <w:bidi w:val="0"/>
        <w:rPr>
          <w:rFonts w:hint="eastAsia"/>
          <w:lang w:val="en-US" w:eastAsia="zh-CN"/>
        </w:rPr>
      </w:pPr>
    </w:p>
    <w:tbl>
      <w:tblPr>
        <w:tblStyle w:val="8"/>
        <w:tblpPr w:leftFromText="180" w:rightFromText="180" w:vertAnchor="text" w:horzAnchor="page" w:tblpX="977" w:tblpY="20"/>
        <w:tblOverlap w:val="never"/>
        <w:tblW w:w="15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76"/>
        <w:gridCol w:w="975"/>
        <w:gridCol w:w="825"/>
        <w:gridCol w:w="765"/>
        <w:gridCol w:w="3015"/>
        <w:gridCol w:w="1095"/>
        <w:gridCol w:w="1455"/>
        <w:gridCol w:w="2940"/>
        <w:gridCol w:w="10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序</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号</w:t>
            </w:r>
          </w:p>
        </w:tc>
        <w:tc>
          <w:tcPr>
            <w:tcW w:w="1076"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单位</w:t>
            </w:r>
          </w:p>
        </w:tc>
        <w:tc>
          <w:tcPr>
            <w:tcW w:w="97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名称</w:t>
            </w:r>
          </w:p>
        </w:tc>
        <w:tc>
          <w:tcPr>
            <w:tcW w:w="82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职位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代码</w:t>
            </w:r>
          </w:p>
        </w:tc>
        <w:tc>
          <w:tcPr>
            <w:tcW w:w="76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名额</w:t>
            </w:r>
          </w:p>
        </w:tc>
        <w:tc>
          <w:tcPr>
            <w:tcW w:w="301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职位职责</w:t>
            </w:r>
          </w:p>
        </w:tc>
        <w:tc>
          <w:tcPr>
            <w:tcW w:w="109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学历学位</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条件</w:t>
            </w:r>
          </w:p>
        </w:tc>
        <w:tc>
          <w:tcPr>
            <w:tcW w:w="1455"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专业要求</w:t>
            </w:r>
          </w:p>
        </w:tc>
        <w:tc>
          <w:tcPr>
            <w:tcW w:w="2940"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其他资格条件</w:t>
            </w:r>
          </w:p>
        </w:tc>
        <w:tc>
          <w:tcPr>
            <w:tcW w:w="1005" w:type="dxa"/>
            <w:noWrap w:val="0"/>
            <w:vAlign w:val="center"/>
          </w:tcPr>
          <w:p>
            <w:pPr>
              <w:widowControl/>
              <w:jc w:val="center"/>
              <w:rPr>
                <w:rFonts w:hint="eastAsia" w:ascii="黑体" w:hAnsi="黑体" w:eastAsia="黑体" w:cs="黑体"/>
                <w:kern w:val="0"/>
                <w:szCs w:val="24"/>
              </w:rPr>
            </w:pPr>
            <w:r>
              <w:rPr>
                <w:rFonts w:hint="eastAsia" w:ascii="黑体" w:hAnsi="黑体" w:eastAsia="黑体" w:cs="黑体"/>
                <w:kern w:val="0"/>
                <w:szCs w:val="24"/>
              </w:rPr>
              <w:t>聘任</w:t>
            </w:r>
          </w:p>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期限</w:t>
            </w:r>
          </w:p>
        </w:tc>
        <w:tc>
          <w:tcPr>
            <w:tcW w:w="1303" w:type="dxa"/>
            <w:noWrap w:val="0"/>
            <w:vAlign w:val="center"/>
          </w:tcPr>
          <w:p>
            <w:pPr>
              <w:widowControl/>
              <w:jc w:val="center"/>
              <w:rPr>
                <w:rFonts w:hint="eastAsia" w:ascii="黑体" w:hAnsi="黑体" w:eastAsia="黑体" w:cs="黑体"/>
                <w:kern w:val="0"/>
                <w:sz w:val="21"/>
                <w:szCs w:val="24"/>
                <w:lang w:val="en-US" w:eastAsia="zh-CN" w:bidi="ar-SA"/>
              </w:rPr>
            </w:pPr>
            <w:r>
              <w:rPr>
                <w:rFonts w:hint="eastAsia" w:ascii="黑体" w:hAnsi="黑体" w:eastAsia="黑体" w:cs="黑体"/>
                <w:kern w:val="0"/>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trPr>
        <w:tc>
          <w:tcPr>
            <w:tcW w:w="633" w:type="dxa"/>
            <w:noWrap w:val="0"/>
            <w:vAlign w:val="center"/>
          </w:tcPr>
          <w:p>
            <w:pPr>
              <w:spacing w:line="59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15</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郑州航空港经济综合实验区党政办公室</w:t>
            </w:r>
          </w:p>
        </w:tc>
        <w:tc>
          <w:tcPr>
            <w:tcW w:w="97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大数据高级工程师</w:t>
            </w:r>
          </w:p>
        </w:tc>
        <w:tc>
          <w:tcPr>
            <w:tcW w:w="825" w:type="dxa"/>
            <w:noWrap w:val="0"/>
            <w:vAlign w:val="center"/>
          </w:tcPr>
          <w:p>
            <w:pPr>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sz w:val="21"/>
                <w:szCs w:val="21"/>
                <w:lang w:val="en-US" w:eastAsia="zh-CN"/>
              </w:rPr>
              <w:t>H202315</w:t>
            </w:r>
          </w:p>
        </w:tc>
        <w:tc>
          <w:tcPr>
            <w:tcW w:w="765" w:type="dxa"/>
            <w:noWrap w:val="0"/>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301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1.组织制订区本级数字政府、数字社会、数字经济发展规划和实施计划，推进政务服务“一网通办”、政府治理“一网统管”和政府运行“一网协同”,打造 “数字中国”城市典范；</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2.负责数据分类分级、数据目录、数据交易、数据治理、数据安全等标准体系建设；</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3.负责数据共享开放和开发利用工作，推动公共数据与社会数据深度融合和应用场景创新，开展数据应用创新课题研究，优化数字资源配置效率，支持多领域数据联通共享；</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4.负责区本级信息化项目评价工作，对信息化项目的立项、验收工作进行指导，对数据治理运营、信息化建设等执行情况进行监督；</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    5.拟订促进大数据市场应用的政策措施，统筹推进大数据在政务、民生、行业等领域应用，推动数据增值服务应用。</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博士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研究生</w:t>
            </w:r>
          </w:p>
        </w:tc>
        <w:tc>
          <w:tcPr>
            <w:tcW w:w="1455"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电子信息类、计算机类、计算机科学与技术类、大数据管理与应用专业</w:t>
            </w:r>
          </w:p>
        </w:tc>
        <w:tc>
          <w:tcPr>
            <w:tcW w:w="2940" w:type="dxa"/>
            <w:noWrap w:val="0"/>
            <w:vAlign w:val="center"/>
          </w:tcPr>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1.45周岁以下；</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2.具有相关行业副高级以上职称；</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3.现在相关岗位担任中层以上职务，有5年以上大数据、智慧城市建设、云计算等新兴技术岗位工作经验；</w:t>
            </w:r>
          </w:p>
          <w:p>
            <w:pPr>
              <w:spacing w:line="24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4.特别优秀的可适当放宽条件。</w:t>
            </w:r>
          </w:p>
        </w:tc>
        <w:tc>
          <w:tcPr>
            <w:tcW w:w="1005" w:type="dxa"/>
            <w:noWrap w:val="0"/>
            <w:vAlign w:val="center"/>
          </w:tcPr>
          <w:p>
            <w:pPr>
              <w:widowControl/>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3年（含试用期6个月）</w:t>
            </w:r>
          </w:p>
        </w:tc>
        <w:tc>
          <w:tcPr>
            <w:tcW w:w="13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包含年薪和聘期考核奖金两部分，税前年平均薪酬</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30-50万元，特别优秀的面议</w:t>
            </w:r>
          </w:p>
        </w:tc>
      </w:tr>
    </w:tbl>
    <w:p>
      <w:pPr>
        <w:bidi w:val="0"/>
        <w:jc w:val="left"/>
        <w:rPr>
          <w:rFonts w:hint="eastAsia"/>
          <w:lang w:val="en-US" w:eastAsia="zh-CN"/>
        </w:rPr>
      </w:pPr>
    </w:p>
    <w:sectPr>
      <w:footerReference r:id="rId3" w:type="default"/>
      <w:pgSz w:w="16838" w:h="11906" w:orient="landscape"/>
      <w:pgMar w:top="1701" w:right="1134" w:bottom="1701" w:left="113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zOTc1ODVmMmY5NDRmOWQxNmY3ZjJjOTQzZmZkN2UifQ=="/>
  </w:docVars>
  <w:rsids>
    <w:rsidRoot w:val="00000000"/>
    <w:rsid w:val="00932579"/>
    <w:rsid w:val="0214373A"/>
    <w:rsid w:val="02862F3A"/>
    <w:rsid w:val="02BC233B"/>
    <w:rsid w:val="056874C6"/>
    <w:rsid w:val="056A1C04"/>
    <w:rsid w:val="06A34294"/>
    <w:rsid w:val="06E14474"/>
    <w:rsid w:val="07830DF3"/>
    <w:rsid w:val="09CA6D33"/>
    <w:rsid w:val="0B13632D"/>
    <w:rsid w:val="0B863944"/>
    <w:rsid w:val="0BB83B59"/>
    <w:rsid w:val="0BE90018"/>
    <w:rsid w:val="0C9A2F62"/>
    <w:rsid w:val="0CB62469"/>
    <w:rsid w:val="0D914302"/>
    <w:rsid w:val="1057362A"/>
    <w:rsid w:val="10E127DA"/>
    <w:rsid w:val="113B0945"/>
    <w:rsid w:val="120C3ACA"/>
    <w:rsid w:val="12195FB7"/>
    <w:rsid w:val="12822609"/>
    <w:rsid w:val="1294473C"/>
    <w:rsid w:val="14A92AFF"/>
    <w:rsid w:val="171D0A49"/>
    <w:rsid w:val="176C0BA1"/>
    <w:rsid w:val="188661F6"/>
    <w:rsid w:val="1A537162"/>
    <w:rsid w:val="1BCA5008"/>
    <w:rsid w:val="1E053427"/>
    <w:rsid w:val="202E1348"/>
    <w:rsid w:val="203C57E2"/>
    <w:rsid w:val="23D1758A"/>
    <w:rsid w:val="24067A18"/>
    <w:rsid w:val="241624FE"/>
    <w:rsid w:val="244874F5"/>
    <w:rsid w:val="26BC75E5"/>
    <w:rsid w:val="26F45131"/>
    <w:rsid w:val="2A5C0EA0"/>
    <w:rsid w:val="2AAF18B0"/>
    <w:rsid w:val="2C9939CE"/>
    <w:rsid w:val="2CFB2DC7"/>
    <w:rsid w:val="2D694BD2"/>
    <w:rsid w:val="2ED84BF3"/>
    <w:rsid w:val="2F4341AA"/>
    <w:rsid w:val="2F8D6403"/>
    <w:rsid w:val="30925CB6"/>
    <w:rsid w:val="33D751CE"/>
    <w:rsid w:val="33FB3609"/>
    <w:rsid w:val="359320AF"/>
    <w:rsid w:val="375F0DAC"/>
    <w:rsid w:val="38921A31"/>
    <w:rsid w:val="38F53E2C"/>
    <w:rsid w:val="3AAD114A"/>
    <w:rsid w:val="3B9B0EF9"/>
    <w:rsid w:val="3CA34AC3"/>
    <w:rsid w:val="3D4A7632"/>
    <w:rsid w:val="3D4E20F1"/>
    <w:rsid w:val="3E2B17B1"/>
    <w:rsid w:val="3E3D3C69"/>
    <w:rsid w:val="3EDF3B19"/>
    <w:rsid w:val="3F4A699C"/>
    <w:rsid w:val="3FDF6556"/>
    <w:rsid w:val="41614B4F"/>
    <w:rsid w:val="41F6607C"/>
    <w:rsid w:val="424E557E"/>
    <w:rsid w:val="435E5108"/>
    <w:rsid w:val="451D4F0B"/>
    <w:rsid w:val="471048C4"/>
    <w:rsid w:val="47C52A22"/>
    <w:rsid w:val="47D65007"/>
    <w:rsid w:val="482F5932"/>
    <w:rsid w:val="4887379B"/>
    <w:rsid w:val="497F1F6E"/>
    <w:rsid w:val="4A010D25"/>
    <w:rsid w:val="4A89489C"/>
    <w:rsid w:val="4AC2539A"/>
    <w:rsid w:val="4C5F7E0E"/>
    <w:rsid w:val="4C793B3F"/>
    <w:rsid w:val="4D0A5610"/>
    <w:rsid w:val="4D21521F"/>
    <w:rsid w:val="4F575516"/>
    <w:rsid w:val="4F684855"/>
    <w:rsid w:val="50E161BC"/>
    <w:rsid w:val="511D3411"/>
    <w:rsid w:val="521D6E70"/>
    <w:rsid w:val="52E92F91"/>
    <w:rsid w:val="53943BB2"/>
    <w:rsid w:val="53A74B0E"/>
    <w:rsid w:val="546832F7"/>
    <w:rsid w:val="55204DD9"/>
    <w:rsid w:val="566A7DE0"/>
    <w:rsid w:val="5686598F"/>
    <w:rsid w:val="578A5A2C"/>
    <w:rsid w:val="5BF5526E"/>
    <w:rsid w:val="5C3667A6"/>
    <w:rsid w:val="5D2A443D"/>
    <w:rsid w:val="5D7F0FB0"/>
    <w:rsid w:val="5EF733CB"/>
    <w:rsid w:val="5EFF99CA"/>
    <w:rsid w:val="5F775FD1"/>
    <w:rsid w:val="603F397B"/>
    <w:rsid w:val="60762B32"/>
    <w:rsid w:val="64D212D1"/>
    <w:rsid w:val="651D3FC4"/>
    <w:rsid w:val="656F69A7"/>
    <w:rsid w:val="66106E4C"/>
    <w:rsid w:val="68957305"/>
    <w:rsid w:val="692135C5"/>
    <w:rsid w:val="69E969C5"/>
    <w:rsid w:val="6AAF7AD3"/>
    <w:rsid w:val="6AFC06F4"/>
    <w:rsid w:val="6B5B0A8A"/>
    <w:rsid w:val="6C271DDA"/>
    <w:rsid w:val="6C8D2069"/>
    <w:rsid w:val="6CB90400"/>
    <w:rsid w:val="6D991053"/>
    <w:rsid w:val="6F65A9DA"/>
    <w:rsid w:val="6F976A50"/>
    <w:rsid w:val="70F33807"/>
    <w:rsid w:val="71063572"/>
    <w:rsid w:val="73885352"/>
    <w:rsid w:val="73F8E9AE"/>
    <w:rsid w:val="75F939C5"/>
    <w:rsid w:val="7615109F"/>
    <w:rsid w:val="76A7205B"/>
    <w:rsid w:val="76ABC19E"/>
    <w:rsid w:val="778908C2"/>
    <w:rsid w:val="77FA23A6"/>
    <w:rsid w:val="79AC5337"/>
    <w:rsid w:val="79D71CA5"/>
    <w:rsid w:val="7B0238C7"/>
    <w:rsid w:val="7B8B6C51"/>
    <w:rsid w:val="7C400E09"/>
    <w:rsid w:val="7C4172D1"/>
    <w:rsid w:val="7DBF6D54"/>
    <w:rsid w:val="7DF37446"/>
    <w:rsid w:val="7DFF4A04"/>
    <w:rsid w:val="7E02424E"/>
    <w:rsid w:val="7E6379C5"/>
    <w:rsid w:val="7E935FD2"/>
    <w:rsid w:val="7E9B3C8F"/>
    <w:rsid w:val="7EFF5984"/>
    <w:rsid w:val="7FDD8DD0"/>
    <w:rsid w:val="7FFA559A"/>
    <w:rsid w:val="97BEB597"/>
    <w:rsid w:val="9FBE51AD"/>
    <w:rsid w:val="9FBF07F8"/>
    <w:rsid w:val="BB5E9CC7"/>
    <w:rsid w:val="BBBF8929"/>
    <w:rsid w:val="BCAF8BE8"/>
    <w:rsid w:val="BFC940D8"/>
    <w:rsid w:val="D0FDDCD2"/>
    <w:rsid w:val="D75F15BA"/>
    <w:rsid w:val="D7F78EC4"/>
    <w:rsid w:val="DEEBD4BD"/>
    <w:rsid w:val="DFDAC779"/>
    <w:rsid w:val="EDA76DC6"/>
    <w:rsid w:val="F59F6EF1"/>
    <w:rsid w:val="F9E74F5D"/>
    <w:rsid w:val="FBD27A7A"/>
    <w:rsid w:val="FDEF3476"/>
    <w:rsid w:val="FF5FB841"/>
    <w:rsid w:val="FF79DB4A"/>
    <w:rsid w:val="FFDD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99"/>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7441</Words>
  <Characters>7771</Characters>
  <Lines>0</Lines>
  <Paragraphs>0</Paragraphs>
  <TotalTime>0</TotalTime>
  <ScaleCrop>false</ScaleCrop>
  <LinksUpToDate>false</LinksUpToDate>
  <CharactersWithSpaces>7815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2023-06-02T19:33:00Z</dcterms:created>
  <dc:creator>Administrator</dc:creator>
  <cp:lastModifiedBy>Administrator</cp:lastModifiedBy>
  <cp:lastPrinted>2023-06-25T04:10:00Z</cp:lastPrinted>
  <dcterms:modified xsi:type="dcterms:W3CDTF">2023-06-26T07:58:06Z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0D999044EBEC496DA3990510294CE999_13</vt:lpwstr>
  </property>
</Properties>
</file>