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68" w:lineRule="atLeast"/>
        <w:ind w:left="0" w:firstLine="435"/>
        <w:jc w:val="both"/>
        <w:rPr>
          <w:rFonts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三门峡市教师资格认定机构联系电话</w:t>
      </w:r>
    </w:p>
    <w:tbl>
      <w:tblPr>
        <w:tblW w:w="8550" w:type="dxa"/>
        <w:jc w:val="center"/>
        <w:tblCellSpacing w:w="0" w:type="dxa"/>
        <w:tblInd w:w="-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1455"/>
        <w:gridCol w:w="1487"/>
        <w:gridCol w:w="28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8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认定机构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主管科室</w:t>
            </w:r>
          </w:p>
        </w:tc>
        <w:tc>
          <w:tcPr>
            <w:tcW w:w="14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8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认定教师资格种类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三门峡市教育局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人事科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2816613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高中、中职、中职实习指导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义马市教育体育局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人事科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2535619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初中、小学、幼儿园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渑池县教育体育局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人事股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4819696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初中、小学、幼儿园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湖滨区教育科技体育局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人事股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2822896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初中、小学、幼儿园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陕州区教育体育局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人事股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3834090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初中、小学、幼儿园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灵宝市教育体育局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人事科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8656175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初中、小学、幼儿园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卢氏县教育体育局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人事股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7886051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484B4F"/>
                <w:sz w:val="24"/>
                <w:szCs w:val="24"/>
                <w:bdr w:val="none" w:color="auto" w:sz="0" w:space="0"/>
              </w:rPr>
              <w:t>初中、小学、幼儿园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2578B"/>
    <w:rsid w:val="49C257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2017-04-06T12:57:00Z</dcterms:created>
  <dc:creator>sj</dc:creator>
  <cp:lastModifiedBy>sj</cp:lastModifiedBy>
  <dcterms:modified xsi:type="dcterms:W3CDTF">2017-04-06T12:57:38Z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