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三门峡市各级教师资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格认定机构相关信息一览表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27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FFC814"/>
          <w:spacing w:val="0"/>
          <w:sz w:val="24"/>
          <w:szCs w:val="24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4798060" cy="5347335"/>
            <wp:effectExtent l="0" t="0" r="2540" b="571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8060" cy="5347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ss.yishixue.com/ntce/2022/04/ea9b16333859932dd60d4916cd4e6011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2022-04-26T03:17:20Z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eyJoZGlkIjoiMmZmNzgxYjk1OGU1MDgzNjU2NGE3Zjc0OWU2OTE4MjEifQ==</vt:lpwstr>
  </property>
  <property fmtid="{D5CDD505-2E9C-101B-9397-08002B2CF9AE}" pid="4" name="ICV">
    <vt:lpwstr>51A85759FBE64E12B60613F79C5634F6</vt:lpwstr>
  </property>
</Properties>
</file>