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附件1：</w:t>
      </w:r>
      <w:bookmarkStart w:id="0" w:name="_GoBack"/>
      <w:bookmarkEnd w:id="0"/>
      <w:r>
        <w:rPr>
          <w:rFonts w:hint="eastAsia" w:ascii="仿宋_GB2312" w:hAnsi="Arial" w:eastAsia="仿宋_GB2312" w:cs="仿宋_GB2312"/>
          <w:b/>
          <w:i w:val="0"/>
          <w:caps w:val="0"/>
          <w:color w:val="000000"/>
          <w:spacing w:val="0"/>
          <w:kern w:val="0"/>
          <w:sz w:val="32"/>
          <w:szCs w:val="32"/>
          <w:bdr w:val="none" w:color="auto" w:sz="0" w:space="0"/>
          <w:shd w:val="clear" w:fill="FFFFFF"/>
          <w:lang w:val="en-US" w:eastAsia="zh-CN" w:bidi="ar"/>
        </w:rPr>
        <w:t>招聘岗位、人数、专业要求及资格条件</w:t>
      </w:r>
    </w:p>
    <w:tbl>
      <w:tblPr>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538"/>
        <w:gridCol w:w="498"/>
        <w:gridCol w:w="338"/>
        <w:gridCol w:w="3160"/>
        <w:gridCol w:w="39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53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5" w:right="-105"/>
              <w:jc w:val="left"/>
              <w:rPr>
                <w:sz w:val="21"/>
                <w:szCs w:val="21"/>
              </w:rPr>
            </w:pPr>
            <w:r>
              <w:rPr>
                <w:rFonts w:hint="eastAsia" w:ascii="仿宋_GB2312" w:eastAsia="仿宋_GB2312" w:cs="仿宋_GB2312" w:hAnsiTheme="minorHAnsi"/>
                <w:b/>
                <w:color w:val="000000"/>
                <w:kern w:val="0"/>
                <w:sz w:val="24"/>
                <w:szCs w:val="24"/>
                <w:bdr w:val="none" w:color="auto" w:sz="0" w:space="0"/>
                <w:lang w:val="en-US" w:eastAsia="zh-CN" w:bidi="ar"/>
              </w:rPr>
              <w:t>岗位</w:t>
            </w:r>
          </w:p>
        </w:tc>
        <w:tc>
          <w:tcPr>
            <w:tcW w:w="83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b/>
                <w:color w:val="000000"/>
                <w:kern w:val="0"/>
                <w:sz w:val="24"/>
                <w:szCs w:val="24"/>
                <w:bdr w:val="none" w:color="auto" w:sz="0" w:space="0"/>
                <w:lang w:val="en-US" w:eastAsia="zh-CN" w:bidi="ar"/>
              </w:rPr>
              <w:t>指标</w:t>
            </w:r>
          </w:p>
        </w:tc>
        <w:tc>
          <w:tcPr>
            <w:tcW w:w="31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b/>
                <w:color w:val="000000"/>
                <w:kern w:val="0"/>
                <w:sz w:val="24"/>
                <w:szCs w:val="24"/>
                <w:bdr w:val="none" w:color="auto" w:sz="0" w:space="0"/>
                <w:lang w:val="en-US" w:eastAsia="zh-CN" w:bidi="ar"/>
              </w:rPr>
              <w:t>专业要求</w:t>
            </w:r>
          </w:p>
        </w:tc>
        <w:tc>
          <w:tcPr>
            <w:tcW w:w="39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b/>
                <w:color w:val="000000"/>
                <w:kern w:val="0"/>
                <w:sz w:val="24"/>
                <w:szCs w:val="24"/>
                <w:bdr w:val="none" w:color="auto" w:sz="0" w:space="0"/>
                <w:lang w:val="en-US" w:eastAsia="zh-CN" w:bidi="ar"/>
              </w:rPr>
              <w:t>资格条件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89" w:hRule="atLeast"/>
        </w:trPr>
        <w:tc>
          <w:tcPr>
            <w:tcW w:w="53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5" w:right="-105"/>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数学</w:t>
            </w:r>
          </w:p>
        </w:tc>
        <w:tc>
          <w:tcPr>
            <w:tcW w:w="4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5" w:right="-105"/>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数学Ａ</w:t>
            </w:r>
          </w:p>
        </w:tc>
        <w:tc>
          <w:tcPr>
            <w:tcW w:w="3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5" w:right="-105"/>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2</w:t>
            </w:r>
          </w:p>
        </w:tc>
        <w:tc>
          <w:tcPr>
            <w:tcW w:w="3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数学、数学与应用数学、信息与计算科学、数学教育、数学课程与教学论、学科教学（数学）、基础数学、计算数学、应用数学、初等教育（数学）</w:t>
            </w:r>
          </w:p>
        </w:tc>
        <w:tc>
          <w:tcPr>
            <w:tcW w:w="398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具有大学及以上学历且有学士及以上学位；报考英语岗位的，还需要大学英语六级及以上证书。同时还需要符合下列条件之一：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（1）2017年硕士研究生及以上学历学位毕业生、部属师范院校北师大、东北师大、华东师大、华中师大、西南师大、陕西师大的师范类毕业生；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（2）浙江省生源2017届全日制普通高校本科及以上师范类专业毕业生；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（3）已取得教师资格证的大榭籍（户籍迁入大榭时间须在2017年3月1日以前，下同）2017届全日制普通高校本科及以上非师范类专业毕业生；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（4）2017年3月1日前取得教师资格证的大榭籍往届毕业生在宁波大市内全日制中小学任教满一学年及以上的在职教师（任教时间计算至2017年7月31日止）。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（5）浙江省县区级和其他省、直辖市的地市级名骨干教师、教坛新秀获得者。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53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数学Ｂ</w:t>
            </w:r>
          </w:p>
        </w:tc>
        <w:tc>
          <w:tcPr>
            <w:tcW w:w="3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1</w:t>
            </w:r>
          </w:p>
        </w:tc>
        <w:tc>
          <w:tcPr>
            <w:tcW w:w="3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数学A岗位的所有专业和小学教育（数学）。</w:t>
            </w:r>
          </w:p>
        </w:tc>
        <w:tc>
          <w:tcPr>
            <w:tcW w:w="398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5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5" w:right="-105"/>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语文</w:t>
            </w:r>
          </w:p>
        </w:tc>
        <w:tc>
          <w:tcPr>
            <w:tcW w:w="83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3</w:t>
            </w:r>
          </w:p>
        </w:tc>
        <w:tc>
          <w:tcPr>
            <w:tcW w:w="3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语文、语文教育、汉语言文学、汉语言文学教育、中国古代文学、中国现当代文学、语言学与应用语言学、对外汉语、小学教育（侧文）、初等教育（中文）、汉语言、应用语言学、汉语国际教育、汉语言文字学、课程与教学论（语文）、学科教学（语文），教育学（初等教育方向）。</w:t>
            </w:r>
          </w:p>
        </w:tc>
        <w:tc>
          <w:tcPr>
            <w:tcW w:w="398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708" w:hRule="atLeast"/>
        </w:trPr>
        <w:tc>
          <w:tcPr>
            <w:tcW w:w="5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5" w:right="-105"/>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英语</w:t>
            </w:r>
          </w:p>
        </w:tc>
        <w:tc>
          <w:tcPr>
            <w:tcW w:w="83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１</w:t>
            </w:r>
          </w:p>
        </w:tc>
        <w:tc>
          <w:tcPr>
            <w:tcW w:w="3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英语、应用英语、英语教育、英语学科教学论、学科教学（英语）、外国语言学及应用语言学、小学教育</w:t>
            </w:r>
          </w:p>
        </w:tc>
        <w:tc>
          <w:tcPr>
            <w:tcW w:w="398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C17DA"/>
    <w:rsid w:val="03DC17DA"/>
    <w:rsid w:val="58BD29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2017-03-08T02:02:00Z</dcterms:created>
  <dc:creator>Administrator</dc:creator>
  <cp:lastModifiedBy>Administrator</cp:lastModifiedBy>
  <dcterms:modified xsi:type="dcterms:W3CDTF">2017-03-08T02:06:10Z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