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2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10"/>
        <w:gridCol w:w="1609"/>
        <w:gridCol w:w="1466"/>
        <w:gridCol w:w="439"/>
        <w:gridCol w:w="885"/>
        <w:gridCol w:w="505"/>
        <w:gridCol w:w="1108"/>
        <w:gridCol w:w="2407"/>
        <w:gridCol w:w="2024"/>
        <w:gridCol w:w="1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lang w:val="en-US" w:eastAsia="zh-CN" w:bidi="ar"/>
              </w:rPr>
              <w:t>杭州市富阳区教育局2017年上半年公开招聘中小学幼儿园新教师计划表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岗位类别</w:t>
            </w:r>
          </w:p>
        </w:tc>
        <w:tc>
          <w:tcPr>
            <w:tcW w:w="16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招聘岗位</w:t>
            </w:r>
          </w:p>
        </w:tc>
        <w:tc>
          <w:tcPr>
            <w:tcW w:w="146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所属区域</w:t>
            </w:r>
          </w:p>
        </w:tc>
        <w:tc>
          <w:tcPr>
            <w:tcW w:w="43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招聘人数</w:t>
            </w:r>
          </w:p>
        </w:tc>
        <w:tc>
          <w:tcPr>
            <w:tcW w:w="8887"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招聘对象、范围和要求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000000"/>
                <w:spacing w:val="0"/>
                <w:sz w:val="19"/>
                <w:szCs w:val="19"/>
              </w:rPr>
            </w:pPr>
          </w:p>
        </w:tc>
        <w:tc>
          <w:tcPr>
            <w:tcW w:w="16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000000"/>
                <w:spacing w:val="0"/>
                <w:sz w:val="19"/>
                <w:szCs w:val="19"/>
              </w:rPr>
            </w:pPr>
          </w:p>
        </w:tc>
        <w:tc>
          <w:tcPr>
            <w:tcW w:w="146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000000"/>
                <w:spacing w:val="0"/>
                <w:sz w:val="19"/>
                <w:szCs w:val="19"/>
              </w:rPr>
            </w:pPr>
          </w:p>
        </w:tc>
        <w:tc>
          <w:tcPr>
            <w:tcW w:w="43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000000"/>
                <w:spacing w:val="0"/>
                <w:sz w:val="19"/>
                <w:szCs w:val="19"/>
              </w:rPr>
            </w:pPr>
          </w:p>
        </w:tc>
        <w:tc>
          <w:tcPr>
            <w:tcW w:w="8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招聘对象</w:t>
            </w:r>
          </w:p>
        </w:tc>
        <w:tc>
          <w:tcPr>
            <w:tcW w:w="5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户籍</w:t>
            </w:r>
          </w:p>
        </w:tc>
        <w:tc>
          <w:tcPr>
            <w:tcW w:w="110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学历</w:t>
            </w: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专业要求</w:t>
            </w:r>
          </w:p>
        </w:tc>
        <w:tc>
          <w:tcPr>
            <w:tcW w:w="398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职教专业课教师 </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信息技术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区职教中心</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35周岁以下人员</w:t>
            </w: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浙江</w:t>
            </w:r>
          </w:p>
        </w:tc>
        <w:tc>
          <w:tcPr>
            <w:tcW w:w="110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数字媒体技术、影视动画、计算机及应用</w:t>
            </w:r>
          </w:p>
        </w:tc>
        <w:tc>
          <w:tcPr>
            <w:tcW w:w="202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全日制普通高校硕士研究生及以上学历且符合专业要求，户籍不限。全日制全国“211工程”大学本</w:t>
            </w:r>
            <w:bookmarkStart w:id="0" w:name="_GoBack"/>
            <w:bookmarkEnd w:id="0"/>
            <w:r>
              <w:rPr>
                <w:rFonts w:hint="eastAsia" w:ascii="宋体" w:hAnsi="宋体" w:eastAsia="宋体" w:cs="宋体"/>
                <w:i w:val="0"/>
                <w:caps w:val="0"/>
                <w:color w:val="000000"/>
                <w:spacing w:val="0"/>
                <w:kern w:val="0"/>
                <w:sz w:val="19"/>
                <w:szCs w:val="19"/>
                <w:lang w:val="en-US" w:eastAsia="zh-CN" w:bidi="ar"/>
              </w:rPr>
              <w:t>科及以上毕业生或全日制普通高校本科校级及以上优秀毕业生，户籍不限。</w:t>
            </w: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机械</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富阳学院</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机械设计制造及其自动化、机械制造及其自动化、机械制造</w:t>
            </w: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高级工及以上资格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烹饪实习指导教师</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区技工学校</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全日制普通高校大专及以上学历或技工院校技师毕业</w:t>
            </w: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中式烹调、烹饪工艺与营养、中西面点工艺</w:t>
            </w:r>
          </w:p>
        </w:tc>
        <w:tc>
          <w:tcPr>
            <w:tcW w:w="398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中式烹调师、中式面点师、西式面点师高级工及以上执业资格；省级技能大赛二等奖或国家技能大赛三等奖及以上。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特殊教育教师</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特殊教育</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区特殊学校</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35周岁以下人员</w:t>
            </w:r>
          </w:p>
        </w:tc>
        <w:tc>
          <w:tcPr>
            <w:tcW w:w="5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不限</w:t>
            </w:r>
          </w:p>
        </w:tc>
        <w:tc>
          <w:tcPr>
            <w:tcW w:w="110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特殊教育专业</w:t>
            </w:r>
          </w:p>
        </w:tc>
        <w:tc>
          <w:tcPr>
            <w:tcW w:w="398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应届师范类毕业生或具有教师资格证人员。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高中（含职高）文化课教师</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高中语文1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w:t>
            </w:r>
          </w:p>
        </w:tc>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2016年毕业生，2017年应届毕业生</w:t>
            </w: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浙江</w:t>
            </w:r>
          </w:p>
        </w:tc>
        <w:tc>
          <w:tcPr>
            <w:tcW w:w="110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按学历专业或教师资格证（或教育部考试中心颁发的教师资格考试合格证明）学科报考对应的学科。 历史学、人文教育（历史）专业可报考历史学科。 资格层次为小学、初中的不可报考高中（含职高）。</w:t>
            </w:r>
          </w:p>
        </w:tc>
        <w:tc>
          <w:tcPr>
            <w:tcW w:w="3982"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师范类毕业。全日制普通高校硕士研究生及以上学历且符合专业要求，户籍不限。全日制全国“211工程”大学本科及以上毕业生放宽至非师范类，户籍不限。全日制普通高校师范类专业本科校级及以上优秀毕业生，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高中语文2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全区职高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高中数学1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高中数学2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全区职高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高中英语</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高中历史</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高中政治</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高中信息技术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高中音乐</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restart"/>
            <w:tcBorders>
              <w:left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不限</w:t>
            </w: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高中美术1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全区普高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高中美术2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全区职高</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505" w:type="dxa"/>
            <w:vMerge w:val="continue"/>
            <w:tcBorders>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初中教师</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初中语文</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w:t>
            </w:r>
          </w:p>
        </w:tc>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35周岁以下人员</w:t>
            </w: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浙江</w:t>
            </w:r>
          </w:p>
        </w:tc>
        <w:tc>
          <w:tcPr>
            <w:tcW w:w="110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按学历专业或教师资格证（或教育部考试中心颁发的教师资格考试合格证明）学科报考对应的学科。 政治、历史、地理的可以报考历史与社会学科；物理、化学和生物的可以报考科学学科。资格层次为普通高中的可以报考初中。</w:t>
            </w:r>
            <w:r>
              <w:rPr>
                <w:rFonts w:hint="eastAsia" w:ascii="宋体" w:hAnsi="宋体" w:eastAsia="宋体" w:cs="宋体"/>
                <w:i w:val="0"/>
                <w:caps w:val="0"/>
                <w:color w:val="000000"/>
                <w:spacing w:val="0"/>
                <w:kern w:val="0"/>
                <w:sz w:val="19"/>
                <w:szCs w:val="19"/>
                <w:lang w:val="en-US" w:eastAsia="zh-CN" w:bidi="ar"/>
              </w:rPr>
              <w:br w:type="textWrapping"/>
            </w:r>
            <w:r>
              <w:rPr>
                <w:rFonts w:hint="eastAsia" w:ascii="宋体" w:hAnsi="宋体" w:eastAsia="宋体" w:cs="宋体"/>
                <w:i w:val="0"/>
                <w:caps w:val="0"/>
                <w:color w:val="000000"/>
                <w:spacing w:val="0"/>
                <w:kern w:val="0"/>
                <w:sz w:val="19"/>
                <w:szCs w:val="19"/>
                <w:lang w:val="en-US" w:eastAsia="zh-CN" w:bidi="ar"/>
              </w:rPr>
              <w:t>                         </w:t>
            </w:r>
            <w:r>
              <w:rPr>
                <w:rFonts w:hint="eastAsia" w:ascii="宋体" w:hAnsi="宋体" w:eastAsia="宋体" w:cs="宋体"/>
                <w:i w:val="0"/>
                <w:caps w:val="0"/>
                <w:color w:val="000000"/>
                <w:spacing w:val="0"/>
                <w:kern w:val="0"/>
                <w:sz w:val="19"/>
                <w:szCs w:val="19"/>
                <w:lang w:val="en-US" w:eastAsia="zh-CN" w:bidi="ar"/>
              </w:rPr>
              <w:br w:type="textWrapping"/>
            </w:r>
            <w:r>
              <w:rPr>
                <w:rFonts w:hint="eastAsia" w:ascii="宋体" w:hAnsi="宋体" w:eastAsia="宋体" w:cs="宋体"/>
                <w:i w:val="0"/>
                <w:caps w:val="0"/>
                <w:color w:val="000000"/>
                <w:spacing w:val="0"/>
                <w:kern w:val="0"/>
                <w:sz w:val="19"/>
                <w:szCs w:val="19"/>
                <w:lang w:val="en-US" w:eastAsia="zh-CN" w:bidi="ar"/>
              </w:rPr>
              <w:t>    </w:t>
            </w:r>
          </w:p>
        </w:tc>
        <w:tc>
          <w:tcPr>
            <w:tcW w:w="3982"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应届师范类毕业生或具有教师资格证人员。全日制普通高校硕士研究生及以上学历且符合专业要求，户籍不限。 全日制全国“211工程”大学本科及以上毕业生和全日制普通高校本科校级及以上优秀毕业生，户籍不限。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初中数学</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4</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4</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初中历史与社会</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初中信息技术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初中音乐</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不限</w:t>
            </w: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初中美术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初中体育1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4</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初中体育2（足球方向）</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初中体育3（摔跤方向）</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全区初中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小学教师</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全区街道所属小学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10</w:t>
            </w:r>
          </w:p>
        </w:tc>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35周岁以下人员</w:t>
            </w:r>
          </w:p>
        </w:tc>
        <w:tc>
          <w:tcPr>
            <w:tcW w:w="505" w:type="dxa"/>
            <w:vMerge w:val="restart"/>
            <w:tcBorders>
              <w:top w:val="single" w:color="000000" w:sz="6" w:space="0"/>
              <w:left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浙江</w:t>
            </w:r>
          </w:p>
        </w:tc>
        <w:tc>
          <w:tcPr>
            <w:tcW w:w="110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按学历专业或教师资格证（或教育部考试中心颁发的教师资格考试合格证明）学科报考对应的学科。小学教育、教育学专业无明确方向的可报考小学语文或小学数学；科学教育、物理、化学和生物专业可报考科学学科。 资格层次为高中（含职高）、初中的可报考小学。</w:t>
            </w:r>
          </w:p>
        </w:tc>
        <w:tc>
          <w:tcPr>
            <w:tcW w:w="202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应届师范类毕业生或具有教师资格证人员。全日制普通高校硕士研究生及以上学历且符合专业要求，户籍不限。 全日制全国“211工程”大学本科及以上毕业生和全日制普通高校本科校级及以上优秀毕业生，户籍不限。</w:t>
            </w:r>
          </w:p>
        </w:tc>
        <w:tc>
          <w:tcPr>
            <w:tcW w:w="1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全区乡镇所属小学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4</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小学语文3</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定向偏远地区</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定向当地学校服务8年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定向偏远地区</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定向当地学校服务8年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小学科学</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小学信息技术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小学美术</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不限</w:t>
            </w: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小学音乐1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小学音乐2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定向偏远地区</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定向当地学校服务8年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小学体育1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小学体育2（篮球方向）</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2</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22"/>
                <w:szCs w:val="22"/>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小学体育3（足球方向）</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全区小学</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240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202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c>
          <w:tcPr>
            <w:tcW w:w="1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幼儿园教师</w:t>
            </w: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全区幼儿园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w:t>
            </w:r>
          </w:p>
        </w:tc>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35周岁以下人员</w:t>
            </w:r>
          </w:p>
        </w:tc>
        <w:tc>
          <w:tcPr>
            <w:tcW w:w="5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浙江</w:t>
            </w:r>
          </w:p>
        </w:tc>
        <w:tc>
          <w:tcPr>
            <w:tcW w:w="110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全日制普通高校本科及以上学历</w:t>
            </w:r>
          </w:p>
        </w:tc>
        <w:tc>
          <w:tcPr>
            <w:tcW w:w="24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学前教育专业</w:t>
            </w:r>
          </w:p>
        </w:tc>
        <w:tc>
          <w:tcPr>
            <w:tcW w:w="3982"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有幼儿园教师资格证人员或已取得教育部考试中心颁发的幼儿园教师资格考试合格证明的应届毕业生。全日制普通高校硕士研究生及以上学历且符合专业要求或全日制普通高校本科校级及以上优秀毕业生，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6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w:t>
            </w:r>
          </w:p>
        </w:tc>
        <w:tc>
          <w:tcPr>
            <w:tcW w:w="14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全区幼儿园</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4</w:t>
            </w:r>
          </w:p>
        </w:tc>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5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000000"/>
                <w:spacing w:val="0"/>
                <w:sz w:val="19"/>
                <w:szCs w:val="19"/>
              </w:rPr>
            </w:pPr>
          </w:p>
        </w:tc>
        <w:tc>
          <w:tcPr>
            <w:tcW w:w="110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大专及以上学历</w:t>
            </w:r>
          </w:p>
        </w:tc>
        <w:tc>
          <w:tcPr>
            <w:tcW w:w="2407" w:type="dxa"/>
            <w:tcBorders>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专业不限</w:t>
            </w:r>
          </w:p>
        </w:tc>
        <w:tc>
          <w:tcPr>
            <w:tcW w:w="3982"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宋体" w:hAnsi="宋体" w:eastAsia="宋体" w:cs="宋体"/>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88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2"/>
                <w:szCs w:val="22"/>
              </w:rPr>
            </w:pPr>
            <w:r>
              <w:rPr>
                <w:rFonts w:hint="eastAsia" w:ascii="宋体" w:hAnsi="宋体" w:eastAsia="宋体" w:cs="宋体"/>
                <w:b/>
                <w:i w:val="0"/>
                <w:caps w:val="0"/>
                <w:color w:val="000000"/>
                <w:spacing w:val="0"/>
                <w:kern w:val="0"/>
                <w:sz w:val="22"/>
                <w:szCs w:val="22"/>
                <w:lang w:val="en-US" w:eastAsia="zh-CN" w:bidi="ar"/>
              </w:rPr>
              <w:t>合计</w:t>
            </w:r>
          </w:p>
        </w:tc>
        <w:tc>
          <w:tcPr>
            <w:tcW w:w="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111</w:t>
            </w:r>
          </w:p>
        </w:tc>
        <w:tc>
          <w:tcPr>
            <w:tcW w:w="8887"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19"/>
                <w:szCs w:val="19"/>
              </w:rPr>
            </w:pPr>
            <w:r>
              <w:rPr>
                <w:rFonts w:hint="eastAsia" w:ascii="宋体" w:hAnsi="宋体" w:eastAsia="宋体" w:cs="宋体"/>
                <w:b/>
                <w:i w:val="0"/>
                <w:caps w:val="0"/>
                <w:color w:val="000000"/>
                <w:spacing w:val="0"/>
                <w:kern w:val="0"/>
                <w:sz w:val="19"/>
                <w:szCs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229" w:type="dxa"/>
            <w:gridSpan w:val="8"/>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注：1.定向偏远地区是指面向万市、洞桥、湖源、常绿、渌渚等5个乡镇所属小学。</w:t>
            </w:r>
          </w:p>
        </w:tc>
        <w:tc>
          <w:tcPr>
            <w:tcW w:w="2024" w:type="dxa"/>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w:t>
            </w:r>
          </w:p>
        </w:tc>
        <w:tc>
          <w:tcPr>
            <w:tcW w:w="1958" w:type="dxa"/>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2.户籍“不限”指具有中华人民共和国国籍的公民不限地区户籍，“浙江”指：应届生为浙江生源，历届生为浙江户籍。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3.35周岁以下人员指1982年1月1日以后出生。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4.全国“211工程”大学仅指重点大学本部，不包括分校和独立学院。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5.招聘岗位的专业条件资格审查，参照《2016年杭州市各级机关考试录用公务员专业资格审查办法》的相关规定。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211" w:type="dxa"/>
            <w:gridSpan w:val="10"/>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    6.报考语文学科要求具有普通话水平二级甲等及以上，报考其他学科的要求二级乙等及以上。</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A4E88"/>
    <w:rsid w:val="186A4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2017-04-21T02:15:00Z</dcterms:created>
  <dc:creator>Administrator</dc:creator>
  <cp:lastModifiedBy>Administrator</cp:lastModifiedBy>
  <dcterms:modified xsi:type="dcterms:W3CDTF">2017-04-21T02:16:46Z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