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rFonts w:hint="eastAsia" w:ascii="宋体" w:hAnsi="宋体" w:eastAsia="宋体" w:cs="宋体"/>
          <w:color w:val="333333"/>
          <w:sz w:val="18"/>
          <w:szCs w:val="18"/>
        </w:rPr>
      </w:pPr>
      <w:bookmarkStart w:id="0" w:name="_GoBack"/>
      <w:r>
        <w:rPr>
          <w:rFonts w:hint="eastAsia" w:ascii="宋体" w:hAnsi="宋体" w:eastAsia="宋体" w:cs="宋体"/>
          <w:color w:val="333333"/>
          <w:kern w:val="0"/>
          <w:sz w:val="24"/>
          <w:szCs w:val="24"/>
          <w:bdr w:val="none" w:color="auto" w:sz="0" w:space="0"/>
          <w:lang w:val="en-US" w:eastAsia="zh-CN" w:bidi="ar"/>
        </w:rPr>
        <w:t xml:space="preserve">绵阳市安州区人力资源和社会保障局 </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rFonts w:hint="eastAsia" w:ascii="宋体" w:hAnsi="宋体" w:eastAsia="宋体" w:cs="宋体"/>
          <w:color w:val="333333"/>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xml:space="preserve">绵阳市安州区教育和体育局 </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rFonts w:hint="eastAsia" w:ascii="宋体" w:hAnsi="宋体" w:eastAsia="宋体" w:cs="宋体"/>
          <w:color w:val="333333"/>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0" w:lineRule="atLeast"/>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xml:space="preserve">关于2017年公开招聘教师面试成绩、考试总成绩、排名及是否进入体检情况公告 </w:t>
      </w:r>
    </w:p>
    <w:p>
      <w:pPr>
        <w:pStyle w:val="2"/>
        <w:keepNext w:val="0"/>
        <w:keepLines w:val="0"/>
        <w:widowControl/>
        <w:suppressLineNumbers w:val="0"/>
        <w:spacing w:line="300" w:lineRule="atLeast"/>
        <w:jc w:val="left"/>
      </w:pPr>
    </w:p>
    <w:p>
      <w:pPr>
        <w:pStyle w:val="2"/>
        <w:keepNext w:val="0"/>
        <w:keepLines w:val="0"/>
        <w:widowControl/>
        <w:suppressLineNumbers w:val="0"/>
        <w:spacing w:after="240" w:afterAutospacing="0" w:line="300" w:lineRule="atLeast"/>
        <w:ind w:left="0" w:firstLine="420"/>
        <w:jc w:val="left"/>
      </w:pPr>
      <w:r>
        <w:rPr>
          <w:rFonts w:hint="eastAsia" w:ascii="宋体" w:hAnsi="宋体" w:eastAsia="宋体" w:cs="宋体"/>
          <w:color w:val="333333"/>
          <w:sz w:val="24"/>
          <w:szCs w:val="24"/>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24"/>
          <w:szCs w:val="24"/>
        </w:rPr>
        <w:t xml:space="preserve">根据《绵阳市安州区人力资源和社会保障局绵阳市安州区教育和体育局关于2017年公开招聘教师的公告》规定，现将安州区2017年公开招聘教师笔试成绩、笔试折合成绩、面试成绩、面试折合成绩、考试总成绩、排名及是否进入体检情况公告如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24"/>
          <w:szCs w:val="24"/>
        </w:rPr>
        <w:t xml:space="preserve">一、笔试成绩、笔试折合成绩、面试成绩、面试折合成绩、考试总成绩、排名及是否进入体检情况 </w:t>
      </w:r>
    </w:p>
    <w:tbl>
      <w:tblPr>
        <w:tblW w:w="8336"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350"/>
        <w:gridCol w:w="992"/>
        <w:gridCol w:w="1781"/>
        <w:gridCol w:w="506"/>
        <w:gridCol w:w="1214"/>
        <w:gridCol w:w="749"/>
        <w:gridCol w:w="905"/>
        <w:gridCol w:w="827"/>
        <w:gridCol w:w="350"/>
        <w:gridCol w:w="6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序号</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岗位编号</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《面试通知书》准考证号</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笔试成绩</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笔试折合成绩（含加分）</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面试成绩</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面试折合成绩</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考试总成绩</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排名</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是否进入体检</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17040301</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20170520002</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83.74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41.87</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80.87</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17040301</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20170520003</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84.22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42.11</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80.61</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17040301</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20170520001</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77.82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38.91</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79.91</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17040301</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20170520004</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75</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37.5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82.86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41.43</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78.93</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17040301</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20170520006</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73</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36.5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80.28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40.14</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76.64</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17040301</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20170520005</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73</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36.5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76.54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38.27</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74.77</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17040302</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20170520008</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74</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37</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85.7</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42.85</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79.85</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17040302</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20170520010</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73</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36.5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83.8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41.9</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78.4</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9</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17040302</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20170520009</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74</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37</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81.5</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40.75</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77.75</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10</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17040302</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20170520007</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77.04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38.52</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77.02</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11</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17040302</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20170520012</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70</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82.66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41.33</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76.33</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12</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17040302</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20170520079</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33.5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78.36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39.18</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72.68</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13</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17040303</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20170520013</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41.3</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80.8</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14</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17040303</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20170520014</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81.18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40.59</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79.59</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15</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17040303</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20170520015</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79.16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39.58</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78.08</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16</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20170520017</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82.28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41.14</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82.14</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20170520018</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83.38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41.69</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81.69</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18</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20170520019</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84.34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42.17</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81.67</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19</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20170520021</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83.84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41.92</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81.42</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20170520025</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84.38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42.19</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81.19</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21</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20170520016</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80.26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40.13</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81.13</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22</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20170520022</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82.76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41.38</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80.38</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23</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20170520023</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81.36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40.68</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79.68</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24</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20170520024</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81.12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40.56</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79.56</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9</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25</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20170520020</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79.9</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39.95</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79.45</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10</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26</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20170520029</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81.9</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40.95</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78.95</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11</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27</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20170520030</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40.1</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78.1</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12</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28</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20170520033</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75</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37.5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80.82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40.41</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77.91</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13</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29</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20170520031</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38.9</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76.9</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14</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30</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20170520028</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77.52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38.76</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76.76</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15</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31</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17040304</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20170520027</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缺考</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缺考</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缺考</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16</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32</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20170520035</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83</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83.64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41.82</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83.32</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33</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20170520041</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87.86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43.93</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82.43</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34</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20170520049</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73</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36.5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89.06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44.53</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81.03</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35</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20170520040</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84.6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42.3</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80.8</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36</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20170520036</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79.36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39.68</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80.68</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37</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20170520037</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79.5</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39.75</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80.25</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20170520046</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74</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37</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86.44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43.22</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80.22</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20170520042</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82.24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41.12</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79.62</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20170520038</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80.1</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40.05</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79.55</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9</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20170520039</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81.82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40.91</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79.41</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10</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42</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20170520052</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70</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85.24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42.62</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77.62</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11</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43</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20170520078</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69</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34.5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85.16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42.58</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77.08</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12</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44</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20170520045</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74</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37</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79.46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39.73</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76.73</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13</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45</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20170520044</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74</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37</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79.02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39.51</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76.51</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14</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46</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20170520043</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75</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37.5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77.76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38.88</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76.38</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15</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47</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20170520050</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71</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35.5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81.44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40.72</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76.22</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16</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48</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20170520047</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73</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36.5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78.52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39.26</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75.76</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49</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17040305</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20170520080</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68</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34</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缺考</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缺考</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缺考</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18</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50</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17040306</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20170520053</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86.68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43.34</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83.84</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51</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17040306</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20170520055</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88.06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44.03</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82.53</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52</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17040306</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20170520054</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85.42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42.71</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81.21</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53</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17040306</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20170520056</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40.9</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78.9</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54</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17040306</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20170520058</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75</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37.5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82.12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41.06</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78.56</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55</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17040307</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20170520059</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86.22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43.11</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81.61</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56</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17040307</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20170520060</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72</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36</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39.2</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75.2</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57</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17040307</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20170520065</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65</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32.5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82.98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41.49</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73.99</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58</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17040307</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20170520061</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71</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35.5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76.54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38.27</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73.77</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59</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17040307</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20170520064</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65</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32.5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81.24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40.62</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73.12</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60</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17040307</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20170520063</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66</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33</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77.52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38.76</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71.76</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61</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17040307</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20170520062</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33.5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放弃</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放弃</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33.5</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62</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17040308</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20170520066</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85.94</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42.97</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83.47</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63</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17040308</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20170520067</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81.06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40.53</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78.53</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64</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17040308</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20170520069</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73</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36.5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83.8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41.9</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78.4</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65</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17040308</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20170520068</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73</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36.5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39.8</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76.3</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66</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17040308</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20170520070</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71</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35.5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78.22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39.11</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74.61</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67</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17040308</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20170520071</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69</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34.5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缺考</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缺考</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缺考</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68</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17040309</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20170520074</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82.96</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41.48</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80.98</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69</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17040309</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20170520072</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83</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78.62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39.31</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80.81</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是</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70</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17040309</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20170520075</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78</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81.8</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40.9</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79.9</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71</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17040309</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20170520076</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38.5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82.32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41.16</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79.66</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4</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72</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17040309</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20170520073</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79.32</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39.66</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79.16</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5</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73</w:t>
            </w:r>
            <w:r>
              <w:rPr>
                <w:rFonts w:hint="eastAsia" w:ascii="宋体" w:hAnsi="宋体" w:eastAsia="宋体" w:cs="宋体"/>
                <w:color w:val="333333"/>
                <w:kern w:val="0"/>
                <w:sz w:val="18"/>
                <w:szCs w:val="18"/>
                <w:bdr w:val="none" w:color="auto" w:sz="0" w:space="0"/>
                <w:lang w:val="en-US" w:eastAsia="zh-CN" w:bidi="ar"/>
              </w:rPr>
              <w:t xml:space="preserve"> </w:t>
            </w:r>
          </w:p>
        </w:tc>
        <w:tc>
          <w:tcPr>
            <w:tcW w:w="99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17040309</w:t>
            </w:r>
            <w:r>
              <w:rPr>
                <w:rFonts w:hint="eastAsia" w:ascii="宋体" w:hAnsi="宋体" w:eastAsia="宋体" w:cs="宋体"/>
                <w:color w:val="333333"/>
                <w:kern w:val="0"/>
                <w:sz w:val="18"/>
                <w:szCs w:val="18"/>
                <w:bdr w:val="none" w:color="auto" w:sz="0" w:space="0"/>
                <w:lang w:val="en-US" w:eastAsia="zh-CN" w:bidi="ar"/>
              </w:rPr>
              <w:t xml:space="preserve"> </w:t>
            </w:r>
          </w:p>
        </w:tc>
        <w:tc>
          <w:tcPr>
            <w:tcW w:w="1781"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20170520077</w:t>
            </w:r>
            <w:r>
              <w:rPr>
                <w:rFonts w:hint="eastAsia" w:ascii="宋体" w:hAnsi="宋体" w:eastAsia="宋体" w:cs="宋体"/>
                <w:color w:val="333333"/>
                <w:kern w:val="0"/>
                <w:sz w:val="18"/>
                <w:szCs w:val="18"/>
                <w:bdr w:val="none" w:color="auto" w:sz="0" w:space="0"/>
                <w:lang w:val="en-US" w:eastAsia="zh-CN" w:bidi="ar"/>
              </w:rPr>
              <w:t xml:space="preserve"> </w:t>
            </w:r>
          </w:p>
        </w:tc>
        <w:tc>
          <w:tcPr>
            <w:tcW w:w="506"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75</w:t>
            </w:r>
            <w:r>
              <w:rPr>
                <w:rFonts w:hint="eastAsia" w:ascii="宋体" w:hAnsi="宋体" w:eastAsia="宋体" w:cs="宋体"/>
                <w:color w:val="333333"/>
                <w:kern w:val="0"/>
                <w:sz w:val="18"/>
                <w:szCs w:val="18"/>
                <w:bdr w:val="none" w:color="auto" w:sz="0" w:space="0"/>
                <w:lang w:val="en-US" w:eastAsia="zh-CN" w:bidi="ar"/>
              </w:rPr>
              <w:t xml:space="preserve"> </w:t>
            </w:r>
          </w:p>
        </w:tc>
        <w:tc>
          <w:tcPr>
            <w:tcW w:w="1214"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37.5</w:t>
            </w:r>
            <w:r>
              <w:rPr>
                <w:rFonts w:hint="eastAsia" w:ascii="宋体" w:hAnsi="宋体" w:eastAsia="宋体" w:cs="宋体"/>
                <w:color w:val="333333"/>
                <w:kern w:val="0"/>
                <w:sz w:val="18"/>
                <w:szCs w:val="18"/>
                <w:bdr w:val="none" w:color="auto" w:sz="0" w:space="0"/>
                <w:lang w:val="en-US" w:eastAsia="zh-CN" w:bidi="ar"/>
              </w:rPr>
              <w:t xml:space="preserve"> </w:t>
            </w:r>
          </w:p>
        </w:tc>
        <w:tc>
          <w:tcPr>
            <w:tcW w:w="749"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79.1</w:t>
            </w:r>
            <w:r>
              <w:rPr>
                <w:rFonts w:hint="eastAsia" w:ascii="宋体" w:hAnsi="宋体" w:eastAsia="宋体" w:cs="宋体"/>
                <w:color w:val="333333"/>
                <w:kern w:val="0"/>
                <w:sz w:val="18"/>
                <w:szCs w:val="18"/>
                <w:bdr w:val="none" w:color="auto" w:sz="0" w:space="0"/>
                <w:lang w:val="en-US" w:eastAsia="zh-CN" w:bidi="ar"/>
              </w:rPr>
              <w:t xml:space="preserve"> </w:t>
            </w:r>
          </w:p>
        </w:tc>
        <w:tc>
          <w:tcPr>
            <w:tcW w:w="905"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39.55</w:t>
            </w:r>
            <w:r>
              <w:rPr>
                <w:rFonts w:hint="eastAsia" w:ascii="宋体" w:hAnsi="宋体" w:eastAsia="宋体" w:cs="宋体"/>
                <w:color w:val="333333"/>
                <w:kern w:val="0"/>
                <w:sz w:val="18"/>
                <w:szCs w:val="18"/>
                <w:bdr w:val="none" w:color="auto" w:sz="0" w:space="0"/>
                <w:lang w:val="en-US" w:eastAsia="zh-CN" w:bidi="ar"/>
              </w:rPr>
              <w:t xml:space="preserve"> </w:t>
            </w:r>
          </w:p>
        </w:tc>
        <w:tc>
          <w:tcPr>
            <w:tcW w:w="827"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77.05</w:t>
            </w:r>
            <w:r>
              <w:rPr>
                <w:rFonts w:hint="eastAsia" w:ascii="宋体" w:hAnsi="宋体" w:eastAsia="宋体" w:cs="宋体"/>
                <w:color w:val="333333"/>
                <w:kern w:val="0"/>
                <w:sz w:val="18"/>
                <w:szCs w:val="18"/>
                <w:bdr w:val="none" w:color="auto" w:sz="0" w:space="0"/>
                <w:lang w:val="en-US" w:eastAsia="zh-CN" w:bidi="ar"/>
              </w:rPr>
              <w:t xml:space="preserve"> </w:t>
            </w:r>
          </w:p>
        </w:tc>
        <w:tc>
          <w:tcPr>
            <w:tcW w:w="350"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6</w:t>
            </w:r>
            <w:r>
              <w:rPr>
                <w:rFonts w:hint="eastAsia" w:ascii="宋体" w:hAnsi="宋体" w:eastAsia="宋体" w:cs="宋体"/>
                <w:color w:val="333333"/>
                <w:kern w:val="0"/>
                <w:sz w:val="18"/>
                <w:szCs w:val="18"/>
                <w:bdr w:val="none" w:color="auto" w:sz="0" w:space="0"/>
                <w:lang w:val="en-US" w:eastAsia="zh-CN" w:bidi="ar"/>
              </w:rPr>
              <w:t xml:space="preserve"> </w:t>
            </w:r>
          </w:p>
        </w:tc>
        <w:tc>
          <w:tcPr>
            <w:tcW w:w="66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r>
              <w:rPr>
                <w:rFonts w:hint="eastAsia" w:ascii="宋体" w:hAnsi="宋体" w:eastAsia="宋体" w:cs="宋体"/>
                <w:color w:val="333333"/>
                <w:kern w:val="0"/>
                <w:sz w:val="18"/>
                <w:szCs w:val="18"/>
                <w:bdr w:val="none" w:color="auto" w:sz="0" w:space="0"/>
                <w:lang w:val="en-US" w:eastAsia="zh-CN" w:bidi="ar"/>
              </w:rPr>
              <w:t xml:space="preserve"> </w:t>
            </w:r>
          </w:p>
        </w:tc>
      </w:tr>
    </w:tbl>
    <w:p>
      <w:pPr>
        <w:pStyle w:val="2"/>
        <w:keepNext w:val="0"/>
        <w:keepLines w:val="0"/>
        <w:widowControl/>
        <w:suppressLineNumbers w:val="0"/>
        <w:spacing w:line="300" w:lineRule="atLeast"/>
        <w:ind w:left="0" w:firstLine="420"/>
        <w:jc w:val="left"/>
      </w:pP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24"/>
          <w:szCs w:val="24"/>
        </w:rPr>
        <w:t xml:space="preserve">二、体检及相关事宜将于2017年6月1日在安州区政府信息公开目录（http://infosendsystem-ax.my.gov.cn/gpi/index.aspx?dept=92338143）公告，请注意查看，不再另行通知。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24"/>
          <w:szCs w:val="24"/>
        </w:rPr>
        <w:t xml:space="preserve">咨询电话：0816-4336326 。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24"/>
          <w:szCs w:val="24"/>
        </w:rPr>
        <w:t xml:space="preserve">绵阳市安州区人力资源和社会保障局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24"/>
          <w:szCs w:val="24"/>
        </w:rPr>
        <w:t xml:space="preserve">绵阳市安州区教育和体育局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24"/>
          <w:szCs w:val="24"/>
        </w:rPr>
        <w:t>2017年5月20日</w:t>
      </w:r>
      <w:r>
        <w:rPr>
          <w:rFonts w:hint="eastAsia" w:ascii="宋体" w:hAnsi="宋体" w:eastAsia="宋体" w:cs="宋体"/>
          <w:color w:val="333333"/>
          <w:sz w:val="18"/>
          <w:szCs w:val="18"/>
        </w:rPr>
        <w:t xml:space="preserve"> </w:t>
      </w:r>
    </w:p>
    <w:p>
      <w:pPr>
        <w:rPr>
          <w:rFonts w:ascii="黑体" w:hAnsi="宋体" w:eastAsia="黑体" w:cs="黑体"/>
          <w:b/>
          <w:color w:val="000000"/>
          <w:sz w:val="36"/>
          <w:szCs w:val="36"/>
          <w:bdr w:val="none" w:color="auto" w:sz="0" w:space="0"/>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E73AF"/>
    <w:rsid w:val="658E73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666666"/>
      <w:u w:val="none"/>
    </w:rPr>
  </w:style>
  <w:style w:type="character" w:styleId="5">
    <w:name w:val="Hyperlink"/>
    <w:basedOn w:val="3"/>
    <w:uiPriority w:val="0"/>
    <w:rPr>
      <w:color w:val="666666"/>
      <w:u w:val="none"/>
    </w:rPr>
  </w:style>
  <w:style w:type="character" w:customStyle="1" w:styleId="7">
    <w:name w:val="selected"/>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2017-05-24T07:19:00Z</dcterms:created>
  <dc:creator>Administrator</dc:creator>
  <cp:lastModifiedBy>Administrator</cp:lastModifiedBy>
  <dcterms:modified xsi:type="dcterms:W3CDTF">2017-05-24T07:26:18Z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