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宋体" w:hAnsi="宋体" w:eastAsia="宋体" w:cs="宋体"/>
          <w:i w:val="0"/>
          <w:caps w:val="0"/>
          <w:color w:val="000000"/>
          <w:spacing w:val="0"/>
          <w:sz w:val="36"/>
          <w:szCs w:val="36"/>
        </w:rPr>
      </w:pPr>
      <w:bookmarkStart w:id="0" w:name="_GoBack"/>
      <w:r>
        <w:rPr>
          <w:rFonts w:hint="eastAsia" w:ascii="宋体" w:hAnsi="宋体" w:eastAsia="宋体" w:cs="宋体"/>
          <w:i w:val="0"/>
          <w:caps w:val="0"/>
          <w:color w:val="000000"/>
          <w:spacing w:val="0"/>
          <w:sz w:val="36"/>
          <w:szCs w:val="36"/>
          <w:bdr w:val="none" w:color="auto" w:sz="0" w:space="0"/>
          <w:shd w:val="clear" w:fill="FFFFFF"/>
        </w:rPr>
        <w:t>成都市兴贤人才咨询服务有限责任公司公开招聘编制外聘用教师的公告</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ascii="微软雅黑" w:hAnsi="微软雅黑" w:eastAsia="微软雅黑" w:cs="微软雅黑"/>
          <w:b w:val="0"/>
          <w:i w:val="0"/>
          <w:caps w:val="0"/>
          <w:color w:val="000000"/>
          <w:spacing w:val="0"/>
          <w:sz w:val="28"/>
          <w:szCs w:val="28"/>
          <w:bdr w:val="none" w:color="auto" w:sz="0" w:space="0"/>
          <w:shd w:val="clear" w:fill="FFFFFF"/>
        </w:rPr>
        <w:t>为进一步促进龙泉驿区教育事业发展，结合教育人才需求，经研究决定，面向社会公开招聘150名编制外聘用教师。按照“公开、平等、自愿、竞争、择优”的原则，由成都市兴贤人才咨询服务有限责任公司（以下简称“兴贤人才”）组织开展招聘工作，录用后的编制外聘用教师采取劳务派遣方式派遣至龙泉驿区公办中（小）学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此次招聘工作分两个阶段进行：第一阶段为定向招聘；第二阶段为综合考试招聘。其中定向招聘人数共计91人，在实施过程中，因各种原因未招满的岗位，将纳入第二阶段统一采用综合考试方式进行招聘。综合考试招聘工作具体实施细则将另行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微软雅黑" w:hAnsi="微软雅黑" w:eastAsia="微软雅黑" w:cs="微软雅黑"/>
          <w:b w:val="0"/>
          <w:i w:val="0"/>
          <w:caps w:val="0"/>
          <w:color w:val="000000"/>
          <w:spacing w:val="0"/>
          <w:sz w:val="28"/>
          <w:szCs w:val="28"/>
          <w:bdr w:val="none" w:color="auto" w:sz="0" w:space="0"/>
          <w:shd w:val="clear" w:fill="FFFFFF"/>
        </w:rPr>
        <w:t>现就定向招聘有关事项公告如下：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一、定向招聘人数及岗位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招聘人数共计91人，具体岗位明细见附件1。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二、报名条件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满足下列条件之一者即可参加此次定向招聘：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（一）参加了“龙泉驿区2017年在编教师公招考试”的人员中，总成绩（笔试与面试综合成绩）在所报岗位中位于前三分之二的考生，具体岗位分数线见附件2。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（二）目前在岗，且今年8月31日满两个服务期考核合格的特岗教师，经本人申请及学校同意推荐。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是否满足上述两项报名资格的考生，请自行查询，查询方式：龙泉驿区公众信息网（http://www.longquanyi.gov.cn/index.php?cid=2300&amp;tid=122396）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三、报名方式及时间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（一）报名方式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现场报名。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（二）报名时间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自本公告发布之日起，至2017年6月21日17:00止。逾期未报名者不纳入本次定向招聘范畴。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（三）所需材料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1.有效身份证、学历（学位）证、教师资格证原件及复印件；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2.特岗教师需持有申请书及学校开具的推荐信；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3.近期2寸免冠照2张；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4.报名登记表（详见附件3）；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5.有下列情形之一者不得报名：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（1）曾因犯罪受过刑事处罚或曾被开除公职的人员；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（2）有违法、违纪行为或正在接受审查的；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（3）尚未解除党纪、政纪处分的；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（4）参加过邪教组织的；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（5）其他不适合应聘岗位情形的。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（四）报名地点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成都市龙泉驿区政务服务中心九楼903办公室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（地址：成都市龙泉驿区北泉路777号）。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（五）咨询电话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028-84852274。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四、定向招聘时间及方式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（一）定向招聘时间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2017年6月23日。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（二）定向招聘方式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定向招聘采用现场定向选岗的方式。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1.满足上述“报名条件”中第一项要求的人员，根据岗位要求，分学科按总成绩从高到低依次选择岗位。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2.满足上述“报名条件”中第二项要求的人员，根据岗位要求，由成都市龙泉驿区教育局统筹安排。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五、体检及政审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体检标准和项目参照国家相关规定执行，职位有特殊要求的由用人单位另行规定。体检费用由考生自行承担。初次体检不合格的，本人可在接到体检结果通知三日内申请复检一次，申请复检人员的体检结果以复检结果为准。具体时间和集合地点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体检合格者，统一组织政审工作，政审不合格者不予聘用。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六、公示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经审查合格的拟聘人员在“龙泉驿区公众信息网”（http://www.longquanyi.gov.cn）进行为期5个工作日的公示。对公示期间反映有学历（学位）、证件造假及考核舞弊等问题，并查有实据的，取消该拟聘人员的拟聘资格，同时将该人员记入今后报考龙泉驿区教师岗位诚信黑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因体检、政审不合格或公示期间被取消聘用的人员，所出现的缺额，不进行替补。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七、聘用管理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（一）对经公示后无异议的人员，由兴贤人才与其签订劳动合同并派遣至学校工作，试用期2个月，并由学校负责日常管理及考核。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（二）拟聘人员应在规定时间内报到，未经同意，逾期未报到者，视为自动弃权。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八、福利及待遇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333333"/>
          <w:spacing w:val="0"/>
          <w:sz w:val="28"/>
          <w:szCs w:val="28"/>
          <w:bdr w:val="none" w:color="auto" w:sz="0" w:space="0"/>
          <w:shd w:val="clear" w:fill="FFFFFF"/>
        </w:rPr>
        <w:t>（一）按照国家规定参加社会保险及公积金；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333333"/>
          <w:spacing w:val="0"/>
          <w:sz w:val="28"/>
          <w:szCs w:val="28"/>
          <w:bdr w:val="none" w:color="auto" w:sz="0" w:space="0"/>
          <w:shd w:val="clear" w:fill="FFFFFF"/>
        </w:rPr>
        <w:t>（二）定期免费体检；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333333"/>
          <w:spacing w:val="0"/>
          <w:sz w:val="28"/>
          <w:szCs w:val="28"/>
          <w:bdr w:val="none" w:color="auto" w:sz="0" w:space="0"/>
          <w:shd w:val="clear" w:fill="FFFFFF"/>
        </w:rPr>
        <w:t>（三）</w:t>
      </w:r>
      <w:r>
        <w:rPr>
          <w:rFonts w:hint="eastAsia" w:ascii="微软雅黑" w:hAnsi="微软雅黑" w:eastAsia="微软雅黑" w:cs="微软雅黑"/>
          <w:b w:val="0"/>
          <w:i w:val="0"/>
          <w:caps w:val="0"/>
          <w:color w:val="000000"/>
          <w:spacing w:val="0"/>
          <w:sz w:val="28"/>
          <w:szCs w:val="28"/>
          <w:bdr w:val="none" w:color="auto" w:sz="0" w:space="0"/>
          <w:shd w:val="clear" w:fill="FFFFFF"/>
        </w:rPr>
        <w:t>试用期内，发放试用期工资；试用期满后，实行“基本工资+绩效工</w:t>
      </w:r>
      <w:r>
        <w:rPr>
          <w:rFonts w:hint="eastAsia" w:ascii="微软雅黑" w:hAnsi="微软雅黑" w:eastAsia="微软雅黑" w:cs="微软雅黑"/>
          <w:b w:val="0"/>
          <w:i w:val="0"/>
          <w:caps w:val="0"/>
          <w:color w:val="333333"/>
          <w:spacing w:val="0"/>
          <w:sz w:val="28"/>
          <w:szCs w:val="28"/>
          <w:bdr w:val="none" w:color="auto" w:sz="0" w:space="0"/>
          <w:shd w:val="clear" w:fill="FFFFFF"/>
        </w:rPr>
        <w:t>资”薪酬制度，人均年薪酬税前约6.5万元（含单位应缴纳社会保险及公积金部分）；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333333"/>
          <w:spacing w:val="0"/>
          <w:sz w:val="28"/>
          <w:szCs w:val="28"/>
          <w:bdr w:val="none" w:color="auto" w:sz="0" w:space="0"/>
          <w:shd w:val="clear" w:fill="FFFFFF"/>
        </w:rPr>
        <w:t>（四）严格执行日常管理、考核、奖惩和淘汰机制。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九、其他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（一）资格审查将贯穿整个定向招聘工作，若在任何环节发现不符合资格条件或弄虚作假者，将随时取消聘用资格，并对相关人员按照有关规定进行严肃处理，所造成的一切后果由考生本人承担；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（二）未尽事宜，由兴贤人才负责解释。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附件：1.定向招聘编制外聘用教师岗位分布及要求。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      2.定向招聘编制外聘用教师岗位分数线。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r>
        <w:rPr>
          <w:rFonts w:hint="eastAsia" w:ascii="微软雅黑" w:hAnsi="微软雅黑" w:eastAsia="微软雅黑" w:cs="微软雅黑"/>
          <w:b w:val="0"/>
          <w:i w:val="0"/>
          <w:caps w:val="0"/>
          <w:color w:val="000000"/>
          <w:spacing w:val="0"/>
          <w:sz w:val="28"/>
          <w:szCs w:val="28"/>
          <w:bdr w:val="none" w:color="auto" w:sz="0" w:space="0"/>
          <w:shd w:val="clear" w:fill="FFFFFF"/>
        </w:rPr>
        <w:t>      3.</w:t>
      </w:r>
      <w:r>
        <w:rPr>
          <w:rFonts w:hint="eastAsia" w:ascii="宋体" w:hAnsi="宋体" w:eastAsia="宋体" w:cs="宋体"/>
          <w:b w:val="0"/>
          <w:i w:val="0"/>
          <w:caps w:val="0"/>
          <w:color w:val="000000"/>
          <w:spacing w:val="0"/>
          <w:sz w:val="21"/>
          <w:szCs w:val="21"/>
          <w:bdr w:val="none" w:color="auto" w:sz="0" w:space="0"/>
          <w:shd w:val="clear" w:fill="FFFFFF"/>
        </w:rPr>
        <w:t> </w:t>
      </w:r>
      <w:r>
        <w:rPr>
          <w:rFonts w:hint="eastAsia" w:ascii="宋体" w:hAnsi="宋体" w:eastAsia="宋体" w:cs="宋体"/>
          <w:b w:val="0"/>
          <w:i w:val="0"/>
          <w:caps w:val="0"/>
          <w:color w:val="333333"/>
          <w:spacing w:val="0"/>
          <w:sz w:val="21"/>
          <w:szCs w:val="21"/>
          <w:u w:val="none"/>
          <w:bdr w:val="none" w:color="auto" w:sz="0" w:space="0"/>
          <w:shd w:val="clear" w:fill="FFFFFF"/>
        </w:rPr>
        <w:fldChar w:fldCharType="begin"/>
      </w:r>
      <w:r>
        <w:rPr>
          <w:rFonts w:hint="eastAsia" w:ascii="宋体" w:hAnsi="宋体" w:eastAsia="宋体" w:cs="宋体"/>
          <w:b w:val="0"/>
          <w:i w:val="0"/>
          <w:caps w:val="0"/>
          <w:color w:val="333333"/>
          <w:spacing w:val="0"/>
          <w:sz w:val="21"/>
          <w:szCs w:val="21"/>
          <w:u w:val="none"/>
          <w:bdr w:val="none" w:color="auto" w:sz="0" w:space="0"/>
          <w:shd w:val="clear" w:fill="FFFFFF"/>
        </w:rPr>
        <w:instrText xml:space="preserve"> HYPERLINK "http://www.longquanyi.gov.cn/Upload/doc/2017/06/15/1497491674861.docx" \t "http://www.longquanyi.gov.cn/_self" </w:instrText>
      </w:r>
      <w:r>
        <w:rPr>
          <w:rFonts w:hint="eastAsia" w:ascii="宋体" w:hAnsi="宋体" w:eastAsia="宋体" w:cs="宋体"/>
          <w:b w:val="0"/>
          <w:i w:val="0"/>
          <w:caps w:val="0"/>
          <w:color w:val="333333"/>
          <w:spacing w:val="0"/>
          <w:sz w:val="21"/>
          <w:szCs w:val="21"/>
          <w:u w:val="none"/>
          <w:bdr w:val="none" w:color="auto" w:sz="0" w:space="0"/>
          <w:shd w:val="clear" w:fill="FFFFFF"/>
        </w:rPr>
        <w:fldChar w:fldCharType="separate"/>
      </w:r>
      <w:r>
        <w:rPr>
          <w:rStyle w:val="10"/>
          <w:rFonts w:hint="eastAsia" w:ascii="宋体" w:hAnsi="宋体" w:eastAsia="宋体" w:cs="宋体"/>
          <w:b w:val="0"/>
          <w:i w:val="0"/>
          <w:caps w:val="0"/>
          <w:color w:val="333333"/>
          <w:spacing w:val="0"/>
          <w:sz w:val="21"/>
          <w:szCs w:val="21"/>
          <w:u w:val="none"/>
          <w:bdr w:val="none" w:color="auto" w:sz="0" w:space="0"/>
          <w:shd w:val="clear" w:fill="FFFFFF"/>
        </w:rPr>
        <w:t>定向招聘编制外聘用教师报名登记表。</w:t>
      </w:r>
      <w:r>
        <w:rPr>
          <w:rFonts w:hint="eastAsia" w:ascii="宋体" w:hAnsi="宋体" w:eastAsia="宋体" w:cs="宋体"/>
          <w:b w:val="0"/>
          <w:i w:val="0"/>
          <w:caps w:val="0"/>
          <w:color w:val="333333"/>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right"/>
      </w:pPr>
      <w:r>
        <w:rPr>
          <w:rFonts w:hint="eastAsia" w:ascii="微软雅黑" w:hAnsi="微软雅黑" w:eastAsia="微软雅黑" w:cs="微软雅黑"/>
          <w:b w:val="0"/>
          <w:i w:val="0"/>
          <w:caps w:val="0"/>
          <w:color w:val="000000"/>
          <w:spacing w:val="0"/>
          <w:sz w:val="28"/>
          <w:szCs w:val="28"/>
          <w:bdr w:val="none" w:color="auto" w:sz="0" w:space="0"/>
          <w:shd w:val="clear" w:fill="FFFFFF"/>
        </w:rPr>
        <w:t>成都市兴贤人才咨询服务有限责任公司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555"/>
        <w:jc w:val="right"/>
      </w:pPr>
      <w:r>
        <w:rPr>
          <w:rFonts w:hint="eastAsia" w:ascii="微软雅黑" w:hAnsi="微软雅黑" w:eastAsia="微软雅黑" w:cs="微软雅黑"/>
          <w:b w:val="0"/>
          <w:i w:val="0"/>
          <w:caps w:val="0"/>
          <w:color w:val="000000"/>
          <w:spacing w:val="0"/>
          <w:sz w:val="28"/>
          <w:szCs w:val="28"/>
          <w:bdr w:val="none" w:color="auto" w:sz="0" w:space="0"/>
          <w:shd w:val="clear" w:fill="FFFFFF"/>
        </w:rPr>
        <w:t>2017年6月14日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宋体" w:hAnsi="宋体" w:eastAsia="宋体" w:cs="宋体"/>
          <w:b w:val="0"/>
          <w:i w:val="0"/>
          <w:caps w:val="0"/>
          <w:color w:val="000000"/>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ascii="方正仿宋简体" w:hAnsi="方正仿宋简体" w:eastAsia="方正仿宋简体" w:cs="方正仿宋简体"/>
          <w:b w:val="0"/>
          <w:i w:val="0"/>
          <w:caps w:val="0"/>
          <w:color w:val="000000"/>
          <w:spacing w:val="0"/>
          <w:sz w:val="31"/>
          <w:szCs w:val="31"/>
          <w:bdr w:val="none" w:color="auto" w:sz="0" w:space="0"/>
          <w:shd w:val="clear" w:fill="FFFFFF"/>
        </w:rPr>
        <w:t>附件</w:t>
      </w:r>
      <w:r>
        <w:rPr>
          <w:rFonts w:hint="eastAsia" w:ascii="宋体" w:hAnsi="宋体" w:eastAsia="宋体" w:cs="宋体"/>
          <w:b w:val="0"/>
          <w:i w:val="0"/>
          <w:caps w:val="0"/>
          <w:color w:val="000000"/>
          <w:spacing w:val="0"/>
          <w:sz w:val="31"/>
          <w:szCs w:val="31"/>
          <w:bdr w:val="none" w:color="auto" w:sz="0" w:space="0"/>
          <w:shd w:val="clear" w:fill="FFFFFF"/>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ascii="方正小标宋简体" w:hAnsi="方正小标宋简体" w:eastAsia="方正小标宋简体" w:cs="方正小标宋简体"/>
          <w:b w:val="0"/>
          <w:i w:val="0"/>
          <w:caps w:val="0"/>
          <w:color w:val="000000"/>
          <w:spacing w:val="0"/>
          <w:sz w:val="36"/>
          <w:szCs w:val="36"/>
          <w:bdr w:val="none" w:color="auto" w:sz="0" w:space="0"/>
          <w:shd w:val="clear" w:fill="FFFFFF"/>
        </w:rPr>
        <w:t>定向招聘编制外聘用教师岗位分布及要求</w:t>
      </w:r>
    </w:p>
    <w:tbl>
      <w:tblPr>
        <w:tblW w:w="8513"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47"/>
        <w:gridCol w:w="447"/>
        <w:gridCol w:w="1037"/>
        <w:gridCol w:w="690"/>
        <w:gridCol w:w="960"/>
        <w:gridCol w:w="818"/>
        <w:gridCol w:w="947"/>
        <w:gridCol w:w="1037"/>
        <w:gridCol w:w="1127"/>
        <w:gridCol w:w="10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序号</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单位</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语文</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数学</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英语</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音乐</w:t>
            </w: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体育</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美术</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综合实践（科学）</w:t>
            </w: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 </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经开区实验小学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5</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大面小学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龙泉五小</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4</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龙华小学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5</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龙泉二小</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6</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同安小学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龙泉四小</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和平小学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9</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龙泉三小</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10</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十陵小学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11</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洪河小学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12</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华川中学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13</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灵龙小学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14</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跃进小学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15</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同安中学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16</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西河小学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17</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友谊小学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18</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柏合学校初中</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19</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柏合学校小学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20</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客家小学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21</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龙井小学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22</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西河中学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23</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西平小学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24</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义和小学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25</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山泉小学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26</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天平小学</w:t>
            </w: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27</w:t>
            </w:r>
          </w:p>
        </w:tc>
        <w:tc>
          <w:tcPr>
            <w:tcW w:w="4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玉石小学</w:t>
            </w:r>
          </w:p>
        </w:tc>
        <w:tc>
          <w:tcPr>
            <w:tcW w:w="10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81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2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5" w:hRule="atLeast"/>
          <w:tblCellSpacing w:w="0" w:type="dxa"/>
        </w:trPr>
        <w:tc>
          <w:tcPr>
            <w:tcW w:w="894" w:type="dxa"/>
            <w:gridSpan w:val="2"/>
            <w:tcBorders>
              <w:top w:val="single" w:color="auto" w:sz="6" w:space="0"/>
              <w:left w:val="single" w:color="auto" w:sz="6" w:space="0"/>
              <w:bottom w:val="single" w:color="auto" w:sz="6" w:space="0"/>
              <w:right w:val="single" w:color="000000"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合计</w:t>
            </w:r>
          </w:p>
        </w:tc>
        <w:tc>
          <w:tcPr>
            <w:tcW w:w="10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34</w:t>
            </w: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18</w:t>
            </w:r>
          </w:p>
        </w:tc>
        <w:tc>
          <w:tcPr>
            <w:tcW w:w="9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9</w:t>
            </w:r>
          </w:p>
        </w:tc>
        <w:tc>
          <w:tcPr>
            <w:tcW w:w="81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5</w:t>
            </w:r>
          </w:p>
        </w:tc>
        <w:tc>
          <w:tcPr>
            <w:tcW w:w="94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w:t>
            </w:r>
          </w:p>
        </w:tc>
        <w:tc>
          <w:tcPr>
            <w:tcW w:w="103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1127"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00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5" w:hRule="atLeast"/>
          <w:tblCellSpacing w:w="0" w:type="dxa"/>
        </w:trPr>
        <w:tc>
          <w:tcPr>
            <w:tcW w:w="8513" w:type="dxa"/>
            <w:gridSpan w:val="10"/>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24"/>
                <w:szCs w:val="24"/>
                <w:bdr w:val="none" w:color="auto" w:sz="0" w:space="0"/>
              </w:rPr>
              <w:t>备注：特岗教师选择的岗位共计13个，由区教育局统筹安排。</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宋体" w:hAnsi="宋体" w:eastAsia="宋体" w:cs="宋体"/>
          <w:b w:val="0"/>
          <w:i w:val="0"/>
          <w:caps w:val="0"/>
          <w:color w:val="000000"/>
          <w:spacing w:val="0"/>
          <w:sz w:val="31"/>
          <w:szCs w:val="3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方正仿宋简体" w:hAnsi="方正仿宋简体" w:eastAsia="方正仿宋简体" w:cs="方正仿宋简体"/>
          <w:b w:val="0"/>
          <w:i w:val="0"/>
          <w:caps w:val="0"/>
          <w:color w:val="000000"/>
          <w:spacing w:val="0"/>
          <w:sz w:val="31"/>
          <w:szCs w:val="31"/>
          <w:bdr w:val="none" w:color="auto" w:sz="0" w:space="0"/>
          <w:shd w:val="clear" w:fill="FFFFFF"/>
        </w:rPr>
        <w:t>附件</w:t>
      </w:r>
      <w:r>
        <w:rPr>
          <w:rFonts w:hint="eastAsia" w:ascii="宋体" w:hAnsi="宋体" w:eastAsia="宋体" w:cs="宋体"/>
          <w:b w:val="0"/>
          <w:i w:val="0"/>
          <w:caps w:val="0"/>
          <w:color w:val="000000"/>
          <w:spacing w:val="0"/>
          <w:sz w:val="31"/>
          <w:szCs w:val="31"/>
          <w:bdr w:val="none" w:color="auto" w:sz="0" w:space="0"/>
          <w:shd w:val="clear" w:fill="FFFFFF"/>
        </w:rPr>
        <w:t>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hint="eastAsia" w:ascii="方正小标宋简体" w:hAnsi="方正小标宋简体" w:eastAsia="方正小标宋简体" w:cs="方正小标宋简体"/>
          <w:b w:val="0"/>
          <w:i w:val="0"/>
          <w:caps w:val="0"/>
          <w:color w:val="000000"/>
          <w:spacing w:val="0"/>
          <w:sz w:val="36"/>
          <w:szCs w:val="36"/>
          <w:bdr w:val="none" w:color="auto" w:sz="0" w:space="0"/>
          <w:shd w:val="clear" w:fill="FFFFFF"/>
        </w:rPr>
        <w:t>定向招聘编制外聘用教师岗位分数线</w:t>
      </w:r>
    </w:p>
    <w:tbl>
      <w:tblPr>
        <w:tblW w:w="8514"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20"/>
        <w:gridCol w:w="1670"/>
        <w:gridCol w:w="2893"/>
        <w:gridCol w:w="3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3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序号</w:t>
            </w:r>
          </w:p>
        </w:tc>
        <w:tc>
          <w:tcPr>
            <w:tcW w:w="16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报考岗位</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报考职位</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报名分数线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w:t>
            </w:r>
          </w:p>
        </w:tc>
        <w:tc>
          <w:tcPr>
            <w:tcW w:w="16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中学语文教师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02001中学语文教师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79.718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w:t>
            </w:r>
          </w:p>
        </w:tc>
        <w:tc>
          <w:tcPr>
            <w:tcW w:w="16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中学英语教师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02003中学英语教师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82.436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3</w:t>
            </w:r>
          </w:p>
        </w:tc>
        <w:tc>
          <w:tcPr>
            <w:tcW w:w="1670" w:type="dxa"/>
            <w:vMerge w:val="restart"/>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中学数学教师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02007中学数学教师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82.533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4</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02005中学数学教师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75.103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5</w:t>
            </w:r>
          </w:p>
        </w:tc>
        <w:tc>
          <w:tcPr>
            <w:tcW w:w="16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中学体育教师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02010中学体育教师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79.69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6</w:t>
            </w:r>
          </w:p>
        </w:tc>
        <w:tc>
          <w:tcPr>
            <w:tcW w:w="16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中学音乐教师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02012中学音乐教师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w:t>
            </w:r>
          </w:p>
        </w:tc>
        <w:tc>
          <w:tcPr>
            <w:tcW w:w="1670" w:type="dxa"/>
            <w:vMerge w:val="restart"/>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小学语文教师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02006小学语文教师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82.211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02017小学语文教师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78.468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9</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02002小学语文教师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75.645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10</w:t>
            </w:r>
          </w:p>
        </w:tc>
        <w:tc>
          <w:tcPr>
            <w:tcW w:w="1670" w:type="dxa"/>
            <w:vMerge w:val="restart"/>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小学英语教师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02009小学英语教师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83.077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11</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02019小学英语教师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12</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02004小学英语教师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78.655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13</w:t>
            </w:r>
          </w:p>
        </w:tc>
        <w:tc>
          <w:tcPr>
            <w:tcW w:w="1670" w:type="dxa"/>
            <w:vMerge w:val="restart"/>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小学数学教师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02008小学数学教师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14</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02018小学数学教师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78.368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15</w:t>
            </w:r>
          </w:p>
        </w:tc>
        <w:tc>
          <w:tcPr>
            <w:tcW w:w="1670" w:type="dxa"/>
            <w:vMerge w:val="restart"/>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小学体育教师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02011小学体育教师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78.912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16</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02022小学体育教师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76.707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17</w:t>
            </w:r>
          </w:p>
        </w:tc>
        <w:tc>
          <w:tcPr>
            <w:tcW w:w="1670" w:type="dxa"/>
            <w:vMerge w:val="restart"/>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小学音乐教师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02013小学音乐教师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79.693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18</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02021小学音乐教师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79.558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19</w:t>
            </w:r>
          </w:p>
        </w:tc>
        <w:tc>
          <w:tcPr>
            <w:tcW w:w="1670" w:type="dxa"/>
            <w:vMerge w:val="restart"/>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小学美术教师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02014小学美术教师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81.868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20</w:t>
            </w:r>
          </w:p>
        </w:tc>
        <w:tc>
          <w:tcPr>
            <w:tcW w:w="1670" w:type="dxa"/>
            <w:vMerge w:val="continue"/>
            <w:tcBorders>
              <w:top w:val="single" w:color="auto" w:sz="6" w:space="0"/>
              <w:left w:val="single" w:color="auto" w:sz="6" w:space="0"/>
              <w:bottom w:val="single" w:color="000000" w:sz="6" w:space="0"/>
              <w:right w:val="single" w:color="auto" w:sz="6" w:space="0"/>
            </w:tcBorders>
            <w:shd w:val="clear"/>
            <w:tcMar>
              <w:left w:w="105" w:type="dxa"/>
              <w:right w:w="105" w:type="dxa"/>
            </w:tcMar>
            <w:vAlign w:val="center"/>
          </w:tcPr>
          <w:p>
            <w:pPr>
              <w:rPr>
                <w:rFonts w:hint="eastAsia" w:ascii="宋体"/>
                <w:sz w:val="24"/>
                <w:szCs w:val="24"/>
              </w:rPr>
            </w:pP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02020小学美术教师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79.613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blCellSpacing w:w="0" w:type="dxa"/>
        </w:trPr>
        <w:tc>
          <w:tcPr>
            <w:tcW w:w="9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21</w:t>
            </w:r>
          </w:p>
        </w:tc>
        <w:tc>
          <w:tcPr>
            <w:tcW w:w="16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小学科学教师</w:t>
            </w:r>
          </w:p>
        </w:tc>
        <w:tc>
          <w:tcPr>
            <w:tcW w:w="289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02016小学科学教师</w:t>
            </w:r>
          </w:p>
        </w:tc>
        <w:tc>
          <w:tcPr>
            <w:tcW w:w="30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sz w:val="24"/>
                <w:szCs w:val="24"/>
                <w:bdr w:val="none" w:color="auto" w:sz="0" w:space="0"/>
              </w:rPr>
              <w:t>83.312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blCellSpacing w:w="0" w:type="dxa"/>
        </w:trPr>
        <w:tc>
          <w:tcPr>
            <w:tcW w:w="8514"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r>
              <w:rPr>
                <w:rFonts w:hint="eastAsia" w:ascii="宋体" w:hAnsi="宋体" w:eastAsia="宋体" w:cs="宋体"/>
                <w:sz w:val="24"/>
                <w:szCs w:val="24"/>
                <w:bdr w:val="none" w:color="auto" w:sz="0" w:space="0"/>
              </w:rPr>
              <w:t>备注：1.在所报考岗位中总成绩大于或等于报名分数线者具有报名资格。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0"/>
            </w:pPr>
            <w:r>
              <w:rPr>
                <w:rFonts w:hint="eastAsia" w:ascii="宋体" w:hAnsi="宋体" w:eastAsia="宋体" w:cs="宋体"/>
                <w:sz w:val="24"/>
                <w:szCs w:val="24"/>
                <w:bdr w:val="none" w:color="auto" w:sz="0" w:space="0"/>
              </w:rPr>
              <w:t>  2.同一报考岗位统一排名，由高分至低分依次选岗。</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jc w:val="center"/>
      </w:pPr>
      <w:r>
        <w:rPr>
          <w:rFonts w:hint="eastAsia" w:ascii="宋体" w:hAnsi="宋体" w:eastAsia="宋体" w:cs="宋体"/>
          <w:b w:val="0"/>
          <w:i w:val="0"/>
          <w:caps w:val="0"/>
          <w:color w:val="000000"/>
          <w:spacing w:val="0"/>
          <w:sz w:val="31"/>
          <w:szCs w:val="31"/>
          <w:bdr w:val="none" w:color="auto" w:sz="0" w:space="0"/>
          <w:shd w:val="clear" w:fill="FFFFFF"/>
        </w:rPr>
        <w:t> </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03CCA"/>
    <w:rsid w:val="32D73E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3399"/>
      <w:u w:val="none"/>
    </w:rPr>
  </w:style>
  <w:style w:type="character" w:styleId="9">
    <w:name w:val="Emphasis"/>
    <w:basedOn w:val="6"/>
    <w:qFormat/>
    <w:uiPriority w:val="0"/>
  </w:style>
  <w:style w:type="character" w:styleId="10">
    <w:name w:val="Hyperlink"/>
    <w:basedOn w:val="6"/>
    <w:qFormat/>
    <w:uiPriority w:val="0"/>
    <w:rPr>
      <w:color w:val="003399"/>
      <w:u w:val="none"/>
    </w:rPr>
  </w:style>
  <w:style w:type="character" w:styleId="11">
    <w:name w:val="HTML Cite"/>
    <w:basedOn w:val="6"/>
    <w:qFormat/>
    <w:uiPriority w:val="0"/>
  </w:style>
  <w:style w:type="character" w:customStyle="1" w:styleId="13">
    <w:name w:val="bds_nopic"/>
    <w:basedOn w:val="6"/>
    <w:qFormat/>
    <w:uiPriority w:val="0"/>
  </w:style>
  <w:style w:type="character" w:customStyle="1" w:styleId="14">
    <w:name w:val="bds_more"/>
    <w:basedOn w:val="6"/>
    <w:qFormat/>
    <w:uiPriority w:val="0"/>
  </w:style>
  <w:style w:type="character" w:customStyle="1" w:styleId="15">
    <w:name w:val="bds_more1"/>
    <w:basedOn w:val="6"/>
    <w:qFormat/>
    <w:uiPriority w:val="0"/>
  </w:style>
  <w:style w:type="character" w:customStyle="1" w:styleId="16">
    <w:name w:val="bds_nopic1"/>
    <w:basedOn w:val="6"/>
    <w:qFormat/>
    <w:uiPriority w:val="0"/>
  </w:style>
  <w:style w:type="character" w:customStyle="1" w:styleId="17">
    <w:name w:val="bds_nopic2"/>
    <w:basedOn w:val="6"/>
    <w:qFormat/>
    <w:uiPriority w:val="0"/>
  </w:style>
  <w:style w:type="character" w:customStyle="1" w:styleId="18">
    <w:name w:val="bds_more2"/>
    <w:basedOn w:val="6"/>
    <w:qFormat/>
    <w:uiPriority w:val="0"/>
  </w:style>
  <w:style w:type="character" w:customStyle="1" w:styleId="19">
    <w:name w:val="br"/>
    <w:basedOn w:val="6"/>
    <w:uiPriority w:val="0"/>
    <w:rPr>
      <w:bdr w:val="none" w:color="auto" w:sz="0" w:space="0"/>
    </w:rPr>
  </w:style>
  <w:style w:type="character" w:customStyle="1" w:styleId="20">
    <w:name w:val="bl"/>
    <w:basedOn w:val="6"/>
    <w:uiPriority w:val="0"/>
    <w:rPr>
      <w:bdr w:val="none" w:color="auto" w:sz="0" w:space="0"/>
    </w:rPr>
  </w:style>
  <w:style w:type="character" w:customStyle="1" w:styleId="21">
    <w:name w:val="tl"/>
    <w:basedOn w:val="6"/>
    <w:uiPriority w:val="0"/>
  </w:style>
  <w:style w:type="character" w:customStyle="1" w:styleId="22">
    <w:name w:val="tag"/>
    <w:basedOn w:val="6"/>
    <w:uiPriority w:val="0"/>
    <w:rPr>
      <w:b/>
      <w:color w:val="008000"/>
    </w:rPr>
  </w:style>
  <w:style w:type="character" w:customStyle="1" w:styleId="23">
    <w:name w:val="quote"/>
    <w:basedOn w:val="6"/>
    <w:uiPriority w:val="0"/>
    <w:rPr>
      <w:color w:val="000000"/>
      <w:bdr w:val="dashed" w:color="AACCEE" w:sz="6" w:space="0"/>
      <w:shd w:val="clear" w:fill="F4F9FD"/>
    </w:rPr>
  </w:style>
  <w:style w:type="character" w:customStyle="1" w:styleId="24">
    <w:name w:val="t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2017-06-08T11:20:00Z</dcterms:created>
  <dc:creator>Administrator</dc:creator>
  <cp:lastModifiedBy>Administrator</cp:lastModifiedBy>
  <dcterms:modified xsi:type="dcterms:W3CDTF">2017-06-16T10:44:29Z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