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43"/>
          <w:szCs w:val="43"/>
        </w:rPr>
        <w:t>绍兴市中等专业学校2018年新教师第二次招聘公告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ascii="仿宋_gb2312" w:hAnsi="仿宋_gb2312" w:eastAsia="仿宋_gb2312" w:cs="仿宋_gb2312"/>
          <w:sz w:val="31"/>
          <w:szCs w:val="31"/>
        </w:rPr>
        <w:t>根据《绍兴市中等专业学校</w:t>
      </w:r>
      <w:r>
        <w:rPr>
          <w:rFonts w:hint="default" w:ascii="仿宋_gb2312" w:hAnsi="仿宋_gb2312" w:eastAsia="仿宋_gb2312" w:cs="仿宋_gb2312"/>
          <w:sz w:val="31"/>
          <w:szCs w:val="31"/>
        </w:rPr>
        <w:t>2018年新教师招聘公告》精神，继第一次招聘后，绍兴市中等专业学校决定继续面向全国2018年全日制高校优秀应届毕业生公开招聘教师，有关招聘情况公告如下：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ascii="黑体" w:hAnsi="宋体" w:eastAsia="黑体" w:cs="黑体"/>
          <w:sz w:val="31"/>
          <w:szCs w:val="31"/>
        </w:rPr>
        <w:t>一、招聘原则与方式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招聘工作坚持公开、公平、竞争和择优的原则，采取公开报名、现场面试、择优聘用的方式，按岗位进行招考。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1.政治思想表现好，热爱教育事业，热爱学生，品行端正，遵纪守法，身心健康。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2.具备与招聘岗位相一致的专业水平及学历条件（具体岗位、人数、要求详见招聘计划）。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3.具有教师的基本素质和教育教学能力。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仿宋_gb2312" w:hAnsi="仿宋_gb2312" w:eastAsia="仿宋_gb2312" w:cs="仿宋_gb2312"/>
          <w:sz w:val="31"/>
          <w:szCs w:val="31"/>
        </w:rPr>
        <w:t>二、招聘计划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继第一次招聘后，剩余招聘岗位、人数、学历和专业要求，详见《绍兴市中等专业学校2018年教师招聘计划（二）》（附件1）。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eastAsia" w:ascii="黑体" w:hAnsi="宋体" w:eastAsia="黑体" w:cs="黑体"/>
          <w:sz w:val="31"/>
          <w:szCs w:val="31"/>
        </w:rPr>
        <w:t>三、招聘的对象和条件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(一)文化课教师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本科阶段是第一批录取的2018年全日制普通高校本科及以上应届毕业生，同时应具备下列条件之一：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1.研究生毕业并具有硕士及以上学位毕业生;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2.教育部直属高校毕业生;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3.省级优秀毕业生;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4.获省师范生教学技能竞赛二等奖及以上;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5.获得过学校二等及以上奖学金;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6.浙师大、杭师大综合成绩排名列本专业前40%（需提供相关佐证材料）的优秀毕业生。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(二)职校专业课教师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本科阶段是第一、二批录取的2018年全日制普通高校本科及以上应届毕业生，同时应具备下列条件之一：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1．研究生毕业并具有硕士及以上学位毕业生;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2．在校期间，在中国大学生九大学科竞赛中，获得省级技能大赛三等奖及以上奖项毕业生；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3．校级及以上优秀毕业生；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4．获得高级工及以上职业资格证书毕业生；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5. 获得过学校二等及以上奖学金；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6. 职教师资类本科毕业生。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eastAsia" w:ascii="黑体" w:hAnsi="宋体" w:eastAsia="黑体" w:cs="黑体"/>
          <w:sz w:val="31"/>
          <w:szCs w:val="31"/>
        </w:rPr>
        <w:t>四、招聘办法及程序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ascii="楷体_gb2312" w:hAnsi="楷体_gb2312" w:eastAsia="楷体_gb2312" w:cs="楷体_gb2312"/>
          <w:sz w:val="31"/>
          <w:szCs w:val="31"/>
        </w:rPr>
        <w:t>1</w:t>
      </w: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.报名和资格审查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（1）采用网上报名的方式，自公告发布开始至2017年12月7日中午12:00截止。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（2）现场确认：时间为12月8日上午8:30-12:00。地点为绍兴市中等专业学校（众香路901号，城南绍诸高速出口附近）。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（3）报名材料要求：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①报名表（附件2）一式2份，其中1份要求贴照片；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②学校核发的就业推荐表、教育部学生司制发的《全国普通高校毕业生就业协议书》(省外高校可持省级教育行政部门制发的《普通高校毕业生就业协议书》)；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③相关证书(证件、证明)的原件、复印件以及高考专业录取批次证明；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④一寸免冠近照2张。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网上报名时请将相关材料发至学校邮箱，证书等请以PDF格式扫描（如使用照片，要求jpg格式，像素等于或大于800 x 600），向学校发送电子邮件报名，邮件名称为“报考学科或专业名称＋姓名+招聘地点”。现场确认时请随带所有材料的原件和复印件。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（4）资格审查：学校根据招聘要求对应聘人员进行资格条件审查，确定入围面试人员名单。入围面试人员与招聘人数原则上不低于3:1，紧缺专业可放宽到2:1。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（5）发放面试通知：向符合招聘条件的人员发放面试通知单，上贴照片、加盖学校公章。凭此通知单、身份证参加面试。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2.面试、考核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面试由学校组织实施，时间为12月8日下午1:30开始，地点在绍兴市中等专业学校。学校根据报名表、面试通知单、身份证确认考生身份。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面试采用说课和面谈交流的测评方式，先说课10-15分钟，然后面谈交流5分钟左右，根据说课和面谈的情况综合评定。考生根据所抽取的教学内容准备半个小时。面试成绩为百分制，低于60分不予录取。若出现相同名次超过招聘计划，由评委投票决定，票数多者录取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面试结束后，学校发给体检通知书。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3.体检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考生随带体检通知书、面试通知单、身份证、就业协议书向学校报到，学校统一组织体检，体检时间和地点另行通知。在体检前确认放弃体检的，学校可以递补。经体检合格后，与拟聘用对象签订《全国普通高校毕业生就业协议书》或省级教育行政部门制发的《普通高校毕业生就业协议书》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体检标准参照《浙江省人事厅、浙江省卫生厅转发人事部卫生部关于印发&lt;公务员录用体检通用标准（试行）&gt;的通知》（浙人公〔2005〕68号）及人力资源社会保障部、卫生部《修订&lt;公务员录用体检通用标准（试行）&gt;及&lt;公务员录用体检操作手册（试行）&gt;》执行。体检不合格，取消聘用资格，缺额不再增补。体检合格，进入考察程序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4.考察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考察工作由学校参照《关于做好公务员录用考察工作的通知》（国公局发（2013）2号）及《浙江省公务员录用考察工作细则（试行）》规定执行，考察中发现不符合招聘要求的，取消聘用资格，缺额不再增补。考察合格，进入公示程序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5.公示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拟聘用人员名单在网上进行为期7个工作日的公示。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Style w:val="5"/>
          <w:rFonts w:hint="default" w:ascii="楷体_gb2312" w:hAnsi="楷体_gb2312" w:eastAsia="楷体_gb2312" w:cs="楷体_gb2312"/>
          <w:sz w:val="31"/>
          <w:szCs w:val="31"/>
        </w:rPr>
        <w:t>6.签约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办理正式录用手续，签订聘用合同。并于2018年7月5日之前持毕业证书、报到证向学校报到办理入职手续。逾期不报到者视作自动放弃。拟聘用人员在2018年7月底前不能取得报考岗位规定的学历、学位证书的，视作放弃聘用资格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聘用人员必须在见习期内（2019年8月前）取得相应教师资格证。见习期内未能取得相应教师资格证的，不予转正定级，两年内未能取得相应教师资格证的，不得聘为专任教师。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5" w:lineRule="atLeast"/>
        <w:ind w:left="0" w:firstLine="645"/>
        <w:jc w:val="left"/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五、其他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1.凡大学期间受过党纪校纪处分的；报到时无毕业证书的；聘用人员的人事档案审核后发现提供的相关证件、材料有弄虚作假行为等，不予聘用。已经聘用的取消聘用资格，缺额不再增补。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2.聘用后执行服务期制度，新聘用人员在本校（单位）服务年限未满五年的不得申请调离。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3. 联系方式：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学校网址：</w:t>
      </w:r>
      <w:r>
        <w:rPr>
          <w:color w:val="333333"/>
          <w:sz w:val="18"/>
          <w:szCs w:val="18"/>
          <w:u w:val="none"/>
        </w:rPr>
        <w:fldChar w:fldCharType="begin"/>
      </w:r>
      <w:r>
        <w:rPr>
          <w:color w:val="333333"/>
          <w:sz w:val="18"/>
          <w:szCs w:val="18"/>
          <w:u w:val="none"/>
        </w:rPr>
        <w:instrText xml:space="preserve"> HYPERLINK "http://www.sxzz.cn" </w:instrText>
      </w:r>
      <w:r>
        <w:rPr>
          <w:color w:val="333333"/>
          <w:sz w:val="18"/>
          <w:szCs w:val="18"/>
          <w:u w:val="none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000000"/>
          <w:sz w:val="31"/>
          <w:szCs w:val="31"/>
          <w:u w:val="single"/>
        </w:rPr>
        <w:t>www.sxzz.cn</w:t>
      </w:r>
      <w:r>
        <w:rPr>
          <w:color w:val="333333"/>
          <w:sz w:val="18"/>
          <w:szCs w:val="1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学校报名邮箱：sxzzbgs@163.com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联系人：沈老师，0575-88589100，13588542762；  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       彭老师，0575-88589796，13777343639。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4. 监督电话：88589112。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1.绍兴市中等专业学校2018年教师招聘计划（二）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2.绍兴市中等专业学校2018年教师招聘报名表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绍兴市中等专业学校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2017年11月27日</w:t>
      </w:r>
    </w:p>
    <w:bookmarkEnd w:id="0"/>
    <w:p>
      <w:pPr>
        <w:pStyle w:val="3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hAnsi="仿宋_gb2312" w:eastAsia="仿宋_gb2312" w:cs="仿宋_gb2312"/>
          <w:sz w:val="31"/>
          <w:szCs w:val="31"/>
        </w:rPr>
        <w:br w:type="page"/>
      </w:r>
      <w:r>
        <w:rPr>
          <w:rFonts w:hint="default" w:ascii="仿宋_gb2312" w:hAnsi="仿宋_gb2312" w:eastAsia="仿宋_gb2312" w:cs="仿宋_gb2312"/>
          <w:sz w:val="28"/>
          <w:szCs w:val="28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绍兴市中等专业学校2018年教师招聘计划（二）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ascii="仿宋" w:hAnsi="仿宋" w:eastAsia="仿宋" w:cs="仿宋"/>
          <w:sz w:val="28"/>
          <w:szCs w:val="28"/>
        </w:rPr>
        <w:t>一、专业课教师</w:t>
      </w:r>
    </w:p>
    <w:tbl>
      <w:tblPr>
        <w:tblW w:w="8880" w:type="dxa"/>
        <w:jc w:val="center"/>
        <w:tblInd w:w="-182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260"/>
        <w:gridCol w:w="765"/>
        <w:gridCol w:w="1365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学历要求</w:t>
            </w:r>
          </w:p>
        </w:tc>
        <w:tc>
          <w:tcPr>
            <w:tcW w:w="4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5" w:type="dxa"/>
            <w:vMerge w:val="restart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绍兴市中等专业学校</w:t>
            </w: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轨道交通</w:t>
            </w:r>
          </w:p>
        </w:tc>
        <w:tc>
          <w:tcPr>
            <w:tcW w:w="7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439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轨道交通、轨道交通信号与控制、交通信息工程及控制、交通运输、交通工程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5" w:type="dxa"/>
            <w:vMerge w:val="continue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电气工程</w:t>
            </w:r>
          </w:p>
        </w:tc>
        <w:tc>
          <w:tcPr>
            <w:tcW w:w="7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439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电气技术教育、自动化、电气工程及其自动化、电气信息工程、电气工程与智能控制、过程装备与控制技术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5" w:type="dxa"/>
            <w:vMerge w:val="continue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经济</w:t>
            </w:r>
          </w:p>
        </w:tc>
        <w:tc>
          <w:tcPr>
            <w:tcW w:w="7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439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40" w:afterAutospacing="0"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经济学、财政学、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u w:val="none"/>
              </w:rPr>
              <w:fldChar w:fldCharType="begin"/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u w:val="none"/>
              </w:rPr>
              <w:instrText xml:space="preserve"> HYPERLINK "https://www.baidu.com/s?wd=%E5%9B%BD%E9%99%85%E7%BB%8F%E6%B5%8E%E4%B8%8E%E8%B4%B8%E6%98%93&amp;tn=44039180_cpr&amp;fenlei=mv6quAkxTZn0IZRqIHckPjm4nH00T1d9mHm4PyFbmhDkryR3P1u90ZwV5Hcvrjm3rH6sPfKWUMw85HfYnjn4nH6sgvPsT6KdThsqpZwYTjCEQLGCpyw9Uz4Bmy-bIi4WUvYETgN-TLwGUv3EPjRYn1T4nHTzPWmLnHnkPHmd" </w:instrTex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1"/>
                <w:rFonts w:hint="default" w:ascii="pingfang sc" w:hAnsi="pingfang sc" w:eastAsia="pingfang sc" w:cs="pingfang sc"/>
                <w:color w:val="333333"/>
                <w:sz w:val="24"/>
                <w:szCs w:val="24"/>
                <w:u w:val="none"/>
              </w:rPr>
              <w:t>国际经济与贸易</w:t>
            </w:r>
            <w:r>
              <w:rPr>
                <w:rFonts w:hint="default" w:ascii="pingfang sc" w:hAnsi="pingfang sc" w:eastAsia="pingfang sc" w:cs="pingfang sc"/>
                <w:color w:val="333333"/>
                <w:sz w:val="24"/>
                <w:szCs w:val="24"/>
                <w:u w:val="none"/>
              </w:rPr>
              <w:fldChar w:fldCharType="end"/>
            </w:r>
            <w:r>
              <w:rPr>
                <w:sz w:val="18"/>
                <w:szCs w:val="18"/>
              </w:rPr>
              <w:t>、金融学、银行与金融、金融工程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05" w:lineRule="atLeast"/>
        <w:jc w:val="center"/>
      </w:pPr>
      <w:r>
        <w:rPr>
          <w:rStyle w:val="5"/>
          <w:rFonts w:hint="eastAsia" w:ascii="仿宋" w:hAnsi="仿宋" w:eastAsia="仿宋" w:cs="仿宋"/>
          <w:sz w:val="31"/>
          <w:szCs w:val="31"/>
        </w:rPr>
        <w:t>二</w:t>
      </w:r>
      <w:r>
        <w:rPr>
          <w:rStyle w:val="5"/>
          <w:rFonts w:hint="eastAsia" w:ascii="仿宋" w:hAnsi="仿宋" w:eastAsia="仿宋" w:cs="仿宋"/>
          <w:sz w:val="28"/>
          <w:szCs w:val="28"/>
        </w:rPr>
        <w:t>、文化课教师</w:t>
      </w:r>
    </w:p>
    <w:tbl>
      <w:tblPr>
        <w:tblW w:w="8772" w:type="dxa"/>
        <w:jc w:val="center"/>
        <w:tblInd w:w="-128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1156"/>
        <w:gridCol w:w="856"/>
        <w:gridCol w:w="1367"/>
        <w:gridCol w:w="4417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学历要求</w:t>
            </w:r>
          </w:p>
        </w:tc>
        <w:tc>
          <w:tcPr>
            <w:tcW w:w="4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6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绍兴市中等专业学校</w:t>
            </w:r>
          </w:p>
        </w:tc>
        <w:tc>
          <w:tcPr>
            <w:tcW w:w="1156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德育</w:t>
            </w:r>
          </w:p>
        </w:tc>
        <w:tc>
          <w:tcPr>
            <w:tcW w:w="856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441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马克思主义理论 、思想政治教育、政治学、法学、中共党史、科学社会主义与国际共产主义运动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hAnsi="仿宋_gb2312" w:eastAsia="仿宋_gb2312" w:cs="仿宋_gb2312"/>
          <w:sz w:val="31"/>
          <w:szCs w:val="31"/>
        </w:rPr>
        <w:br w:type="page"/>
      </w:r>
      <w:r>
        <w:rPr>
          <w:rFonts w:hint="default" w:ascii="仿宋_gb2312" w:hAnsi="仿宋_gb2312" w:eastAsia="仿宋_gb2312" w:cs="仿宋_gb2312"/>
          <w:sz w:val="28"/>
          <w:szCs w:val="28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435" w:lineRule="atLeast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绍兴市中等专业学校2018年教师招聘报名表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435" w:lineRule="atLeast"/>
        <w:ind w:left="420"/>
        <w:jc w:val="center"/>
      </w:pPr>
      <w:r>
        <w:rPr>
          <w:rFonts w:hint="eastAsia" w:ascii="仿宋" w:hAnsi="仿宋" w:eastAsia="仿宋" w:cs="仿宋"/>
          <w:sz w:val="24"/>
          <w:szCs w:val="24"/>
        </w:rPr>
        <w:t>报考类别：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        报考专业（学科）：</w:t>
      </w:r>
    </w:p>
    <w:tbl>
      <w:tblPr>
        <w:tblW w:w="9135" w:type="dxa"/>
        <w:jc w:val="center"/>
        <w:tblInd w:w="-309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940"/>
        <w:gridCol w:w="1260"/>
        <w:gridCol w:w="136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毕业专业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生源地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现户籍地</w:t>
            </w:r>
          </w:p>
        </w:tc>
        <w:tc>
          <w:tcPr>
            <w:tcW w:w="1365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毕业证书编号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255" w:type="dxa"/>
            <w:gridSpan w:val="2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294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家庭电话</w:t>
            </w:r>
          </w:p>
        </w:tc>
        <w:tc>
          <w:tcPr>
            <w:tcW w:w="3255" w:type="dxa"/>
            <w:gridSpan w:val="2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主要简历</w:t>
            </w:r>
          </w:p>
        </w:tc>
        <w:tc>
          <w:tcPr>
            <w:tcW w:w="7455" w:type="dxa"/>
            <w:gridSpan w:val="4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（从初中开始填写，请重点说明本科学校情况、是第几批录取）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所获荣誉</w:t>
            </w:r>
          </w:p>
        </w:tc>
        <w:tc>
          <w:tcPr>
            <w:tcW w:w="7455" w:type="dxa"/>
            <w:gridSpan w:val="4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0" w:type="dxa"/>
            <w:tcBorders>
              <w:top w:val="single" w:color="FFFFFF" w:sz="4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 明</w:t>
            </w:r>
          </w:p>
        </w:tc>
        <w:tc>
          <w:tcPr>
            <w:tcW w:w="7455" w:type="dxa"/>
            <w:gridSpan w:val="4"/>
            <w:tcBorders>
              <w:top w:val="single" w:color="FFFFFF" w:sz="48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atLeast"/>
              <w:ind w:left="0" w:firstLine="4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本表所填写的内容准确无误，所提交的资料真实有效，如有虚假，由此产生的一切后果由本人承担。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报名人手写签名：               日期： 年 月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rFonts w:hint="eastAsia" w:ascii="仿宋" w:hAnsi="仿宋" w:eastAsia="仿宋" w:cs="仿宋"/>
          <w:sz w:val="24"/>
          <w:szCs w:val="24"/>
        </w:rPr>
        <w:t>注：现场确认时请提交本表（一式二份），并附上1寸照片2张。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666B"/>
    <w:rsid w:val="43596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over"/>
    <w:basedOn w:val="4"/>
    <w:uiPriority w:val="0"/>
    <w:rPr>
      <w:color w:val="FFFFFF"/>
      <w:shd w:val="clear" w:fill="A9CC2D"/>
    </w:rPr>
  </w:style>
  <w:style w:type="character" w:customStyle="1" w:styleId="16">
    <w:name w:val="over1"/>
    <w:basedOn w:val="4"/>
    <w:uiPriority w:val="0"/>
  </w:style>
  <w:style w:type="character" w:customStyle="1" w:styleId="17">
    <w:name w:val="out"/>
    <w:basedOn w:val="4"/>
    <w:uiPriority w:val="0"/>
  </w:style>
  <w:style w:type="character" w:customStyle="1" w:styleId="18">
    <w:name w:val="bg"/>
    <w:basedOn w:val="4"/>
    <w:uiPriority w:val="0"/>
  </w:style>
  <w:style w:type="character" w:customStyle="1" w:styleId="19">
    <w:name w:val="addtim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2017-11-30T10:06:00Z</dcterms:created>
  <dc:creator>水无鱼</dc:creator>
  <cp:lastModifiedBy>水无鱼</cp:lastModifiedBy>
  <dcterms:modified xsi:type="dcterms:W3CDTF">2017-11-30T10:12:42Z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