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color w:val="000000"/>
          <w:bdr w:val="none" w:color="auto" w:sz="0" w:space="0"/>
          <w:shd w:val="clear" w:fill="FFFFFF"/>
          <w:vertAlign w:val="baseline"/>
        </w:rPr>
        <w:t> </w:t>
      </w:r>
      <w:bookmarkStart w:id="1" w:name="_GoBack"/>
      <w:r>
        <w:rPr>
          <w:color w:val="000000"/>
          <w:bdr w:val="none" w:color="auto" w:sz="0" w:space="0"/>
          <w:shd w:val="clear" w:fill="FFFFFF"/>
          <w:vertAlign w:val="baseline"/>
        </w:rPr>
        <w:t>遵义师范学院2018年公开招聘博士研究生简章</w:t>
      </w:r>
    </w:p>
    <w:p>
      <w:pPr>
        <w:pStyle w:val="4"/>
        <w:keepNext w:val="0"/>
        <w:keepLines w:val="0"/>
        <w:widowControl/>
        <w:suppressLineNumbers w:val="0"/>
        <w:wordWrap w:val="0"/>
        <w:spacing w:before="300" w:beforeAutospacing="0" w:after="300" w:afterAutospacing="0" w:line="480" w:lineRule="atLeast"/>
        <w:ind w:left="0" w:right="0" w:firstLine="645"/>
      </w:pPr>
      <w:r>
        <w:rPr>
          <w:rFonts w:ascii="仿宋_GB2312" w:eastAsia="仿宋_GB2312" w:cs="仿宋_GB2312"/>
          <w:color w:val="000000"/>
          <w:sz w:val="31"/>
          <w:szCs w:val="31"/>
          <w:bdr w:val="none" w:color="auto" w:sz="0" w:space="0"/>
          <w:shd w:val="clear" w:fill="FFFFFF"/>
          <w:vertAlign w:val="baseline"/>
        </w:rPr>
        <w:t>根据《事业单位公开招聘人员暂行规定》（人事部令第6号）、《贵州省事业单位公开招聘操作办法（试行）》以及《遵义市事业单位公开考试招聘新增人员暂行办法》的有关规定，经市人力资源和社会保障局核准，决定公开招聘一批博士研究生专业技术人员。为确保招聘工作的顺利进行，特制定如下招聘简章。</w:t>
      </w:r>
    </w:p>
    <w:p>
      <w:pPr>
        <w:pStyle w:val="4"/>
        <w:keepNext w:val="0"/>
        <w:keepLines w:val="0"/>
        <w:widowControl/>
        <w:suppressLineNumbers w:val="0"/>
        <w:wordWrap w:val="0"/>
        <w:spacing w:before="300" w:beforeAutospacing="0" w:after="300" w:afterAutospacing="0" w:line="480" w:lineRule="atLeast"/>
        <w:ind w:left="0" w:right="0" w:firstLine="645"/>
      </w:pPr>
      <w:r>
        <w:rPr>
          <w:rFonts w:ascii="黑体" w:hAnsi="宋体" w:eastAsia="黑体" w:cs="黑体"/>
          <w:color w:val="000000"/>
          <w:sz w:val="31"/>
          <w:szCs w:val="31"/>
          <w:bdr w:val="none" w:color="auto" w:sz="0" w:space="0"/>
          <w:shd w:val="clear" w:fill="FFFFFF"/>
          <w:vertAlign w:val="baseline"/>
        </w:rPr>
        <w:t>一、公开招聘原则及程序</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招聘工作严格按照公开、平等、竞争、择优的原则，按照发布公告、报名、资格审查、面试、体检、政审、公示、聘用审批的程序进行。</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学校成立公开招聘工作领导小组，全面负责本次公开招聘工作。</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黑体" w:hAnsi="宋体" w:eastAsia="黑体" w:cs="黑体"/>
          <w:color w:val="000000"/>
          <w:sz w:val="31"/>
          <w:szCs w:val="31"/>
          <w:bdr w:val="none" w:color="auto" w:sz="0" w:space="0"/>
          <w:shd w:val="clear" w:fill="FFFFFF"/>
          <w:vertAlign w:val="baseline"/>
        </w:rPr>
        <w:t>二、公开招聘的职位、人数及要求</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计划公开招聘博士研究生学历人员57名，招聘人员同时必须具有博士学位，具体职位、人数及要求等详见《遵义师范学院2018公开招聘博士研究生职位表》。</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黑体" w:hAnsi="宋体" w:eastAsia="黑体" w:cs="黑体"/>
          <w:color w:val="000000"/>
          <w:sz w:val="31"/>
          <w:szCs w:val="31"/>
          <w:bdr w:val="none" w:color="auto" w:sz="0" w:space="0"/>
          <w:shd w:val="clear" w:fill="FFFFFF"/>
          <w:vertAlign w:val="baseline"/>
        </w:rPr>
        <w:t>三、公开招聘的条件</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1.具有中华人民共和国国籍，户籍不限；</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2.拥护中国共产党的领导，热爱祖国，遵守宪法、法律和法规；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3.遵守纪律、品行端正，具备良好的职业道德；</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4.具有正常履行岗位职责的身体条件；</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5.年龄在45 周岁以下（</w:t>
      </w:r>
      <w:r>
        <w:rPr>
          <w:rFonts w:hint="default" w:ascii="仿宋_GB2312" w:eastAsia="仿宋_GB2312" w:cs="仿宋_GB2312"/>
          <w:color w:val="C00000"/>
          <w:sz w:val="31"/>
          <w:szCs w:val="31"/>
          <w:bdr w:val="none" w:color="auto" w:sz="0" w:space="0"/>
          <w:shd w:val="clear" w:fill="FFFF00"/>
          <w:vertAlign w:val="baseline"/>
        </w:rPr>
        <w:t>1973年3月23日</w:t>
      </w:r>
      <w:r>
        <w:rPr>
          <w:rFonts w:hint="default" w:ascii="仿宋_GB2312" w:eastAsia="仿宋_GB2312" w:cs="仿宋_GB2312"/>
          <w:color w:val="000000"/>
          <w:sz w:val="31"/>
          <w:szCs w:val="31"/>
          <w:bdr w:val="none" w:color="auto" w:sz="0" w:space="0"/>
          <w:shd w:val="clear" w:fill="FFFFFF"/>
          <w:vertAlign w:val="baseline"/>
        </w:rPr>
        <w:t>及以后出生）。</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6.有下列情形之一者不能参加此次公开招聘：</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（1）在读的全日制非2018届毕业生；</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（2）曾因犯罪受过刑事处罚的；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（3）曾被开除公职或在机关（含参照公务员法管理单位）、事业单位被辞退未满5年的；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（4）曾因贪污、行贿受贿、泄露国家机密等原因受到过党纪、政纪处分的；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（5）在职机关事业单位工作人员，没有单位和主管部门同意报名的；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（6）在各级公务员招考、事业单位招聘中被认定有舞弊等行为且仍在不得报考期限内的；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（7）不符合招聘对象、报考条件或职位所需资格条件的；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（8）</w:t>
      </w:r>
      <w:r>
        <w:rPr>
          <w:rFonts w:hint="default" w:ascii="仿宋_GB2312" w:eastAsia="仿宋_GB2312" w:cs="仿宋_GB2312"/>
          <w:color w:val="000000"/>
          <w:sz w:val="31"/>
          <w:szCs w:val="31"/>
          <w:bdr w:val="none" w:color="auto" w:sz="0" w:space="0"/>
          <w:shd w:val="clear" w:fill="FFFFFF"/>
          <w:vertAlign w:val="baseline"/>
        </w:rPr>
        <w:t>报名时除2018年应届毕业生外，不能提供职位要求的毕业证书、学位证书等原件的（应届毕业生须在2018年12月31日前提供学历证书及学位证书）；</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（9）新招录（聘）到机关事业单位工作仍在试用期以内的；</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（10）法律、法规规定不得聘用为事业单位人员的。</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黑体" w:hAnsi="宋体" w:eastAsia="黑体" w:cs="黑体"/>
          <w:color w:val="000000"/>
          <w:sz w:val="31"/>
          <w:szCs w:val="31"/>
          <w:bdr w:val="none" w:color="auto" w:sz="0" w:space="0"/>
          <w:shd w:val="clear" w:fill="FFFFFF"/>
          <w:vertAlign w:val="baseline"/>
        </w:rPr>
        <w:t>四、公开招聘的程序</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（一）应聘人员报名</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1.报名时间:2018年全年均可报名。</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2.报名方式:持个人简历以及身份证、毕业证书、学位证书原件及复印件（应届生凭毕业生就业推荐表）和其它应聘材料（包含教研、科研成果及获奖情况等）在报名期间的工作时间内到遵义师范学院人事处人才科（遵义市新浦新区平安大道6号遵义师范学院行政楼421）报名；或发送上述电子材料到zysyrcb@163.com。</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3.报名人员须如实提交本人有关信息和材料，并填写《遵义师范学院2018年公开招聘博士研究生报名表》（以下简称《报名表》）。《报名表》信息填写不真实、不完整或填写错误的，责任自负；委托他人报名，若报名信息出现上述情况，视同报考人员本人填写，由报考人员本人承担责任。凡弄虚作假的，一经查实，即取消面试或聘用资格。</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4.报名联系电话：0851—28937712。</w:t>
      </w:r>
    </w:p>
    <w:p>
      <w:pPr>
        <w:pStyle w:val="4"/>
        <w:keepNext w:val="0"/>
        <w:keepLines w:val="0"/>
        <w:widowControl/>
        <w:suppressLineNumbers w:val="0"/>
        <w:shd w:val="clear" w:fill="FFFFFF"/>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考生报名以后应随时保持所留联系方法的通讯工具的畅通，确保招聘单位能够及时进行联系，通知相关事项，如因考生电话关机或停机等导致招聘单位无法联系考生，责任由考生自负。</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（二）资格审查</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工作人员当场对报考人员是否符合报考职位所需资格条件进行审查，对于资格审查合格人员，在其《报名表》上签署同意报考的意见。</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资格审查贯穿于招聘工作的始终。在招聘各个环节如发现考生不符合简章规定的资格条件或证书证件等存在弄虚作假现象，随时取消其应聘资格，其责任由考生自负。</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（三）面试（考核）方式及内容</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本次招聘由于面对的是高层次人才，根据《贵州省事业单位公开招聘操作办法（试行）》（黔人社厅发〔2013〕10号）的相关规定，本次公开招聘考试只采取面试（考核）的方式进行。</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1、确定面试（考核）人选</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人事处将通过资格审查的人员分类汇总，经人事处、相关学院及分管校领导三方同意后，确定进入面试（考核）人选，人选确定以后，学校将视情况及时组织开展面试（考核）工作。</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2、面试（考核）</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面试（考核）由专业技能及科研水平、学术素养的面试（考核）和综合素质面试（考核）组成。</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1）由学校分管校领导组织，人事处牵头，教务处、科研处、发展规划处参加，并从全校专家库中抽取专家，确定面试（考核）组成员名单。面试考核组根据应聘人员面试表现情况，结合其前期工作情况和学术积累情况，提出面试考核结果的初步意见。</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（2）专业技能及学术素养的面试（考核）采取讲座或试讲的形式进行，本项占比40%。</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（3）综合素质（含科研水平）的面试（考核）采取答辩的形式进行，本项占比60%（科研水平占40%，综合素质占20%）。</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3、学校审核</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面试（考核）结果的初步意见提交校长办公会讨论研究，如有特殊情况报校党委会研究。</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（四）体检</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根据招聘岗位名额和考生面试（考核）成绩从高到低排名，按1∶1的比例确定体检人员,并严格按照体检的规定和程序组织体检人员到指定的医院进行体检。</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体检标准参照《公务员录用体检通用标准（试行）》及《公务员录用体检操作手册（试行）》及《关于修订&lt;公务员录用体检通用标准(试行)&gt;及&lt;公务员录用体检操作手册执行&gt;(试行)的通知》（人社部发〔2010〕19号）规定执行。</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体检费用由考生自理，体检时间另行通知。</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初次体检被确认不合格的,可由本人提出申请,经学校公开招聘工作领导小组同意后复查一次。</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（五）考察（政审）</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从体检合格人员中，根据招聘岗位名额和面试成绩从高到低依次等额确定政审对象。学校组织部（人事处）按照规定程序，对考察对象的思想政治、道德品质、业务能力、工作实绩、廉洁奉公及是否需要回避等情况进行审核，同时复查其应聘资格。</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在考察（政审）中发现不符合招聘条件的，视为政审不合格，由公开招聘工作领导小组办公室审定，取消拟聘用资格。</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（六）公示</w:t>
      </w:r>
    </w:p>
    <w:p>
      <w:pPr>
        <w:pStyle w:val="4"/>
        <w:keepNext w:val="0"/>
        <w:keepLines w:val="0"/>
        <w:widowControl/>
        <w:suppressLineNumbers w:val="0"/>
        <w:wordWrap w:val="0"/>
        <w:spacing w:before="300" w:beforeAutospacing="0" w:after="300" w:afterAutospacing="0" w:line="480" w:lineRule="atLeast"/>
        <w:ind w:left="0" w:right="0" w:firstLine="645"/>
      </w:pPr>
      <w:r>
        <w:rPr>
          <w:rFonts w:ascii="仿宋" w:hAnsi="仿宋" w:eastAsia="仿宋" w:cs="仿宋"/>
          <w:color w:val="000000"/>
          <w:sz w:val="31"/>
          <w:szCs w:val="31"/>
          <w:bdr w:val="none" w:color="auto" w:sz="0" w:space="0"/>
          <w:shd w:val="clear" w:fill="FFFFFF"/>
          <w:vertAlign w:val="baseline"/>
        </w:rPr>
        <w:t>经报名、资格审查、面试、体检、政审合格的人员，确定为拟聘用人员，由公开招聘工作领导小组在遵义市人力资源和社会保障网上进行为期7天的公示，接受社会监督。</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仿宋" w:hAnsi="仿宋" w:eastAsia="仿宋" w:cs="仿宋"/>
          <w:color w:val="000000"/>
          <w:sz w:val="31"/>
          <w:szCs w:val="31"/>
          <w:bdr w:val="none" w:color="auto" w:sz="0" w:space="0"/>
          <w:shd w:val="clear" w:fill="FFFFFF"/>
          <w:vertAlign w:val="baseline"/>
        </w:rPr>
        <w:t>对拟聘用人员在公示期间有异议的,由纪检监察部门会同招聘主管部门按规定进行调查。查实有严重问题影响聘用的，取消聘用资格，一时难以查实的，暂缓聘用，待查实并做出结论后再决定是否聘用。</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（七）聘用审批</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仿宋" w:hAnsi="仿宋" w:eastAsia="仿宋" w:cs="仿宋"/>
          <w:color w:val="000000"/>
          <w:sz w:val="31"/>
          <w:szCs w:val="31"/>
          <w:bdr w:val="none" w:color="auto" w:sz="0" w:space="0"/>
          <w:shd w:val="clear" w:fill="FFFFFF"/>
          <w:vertAlign w:val="baseline"/>
        </w:rPr>
        <w:t>聘用工作严格按照规定的程序进行。对拟聘人员公示结果不影响聘用的，由学校根据管理权限报遵义市人力资源和社会保障局审批。</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仿宋" w:hAnsi="仿宋" w:eastAsia="仿宋" w:cs="仿宋"/>
          <w:color w:val="000000"/>
          <w:sz w:val="31"/>
          <w:szCs w:val="31"/>
          <w:bdr w:val="none" w:color="auto" w:sz="0" w:space="0"/>
          <w:shd w:val="clear" w:fill="FFFFFF"/>
          <w:vertAlign w:val="baseline"/>
        </w:rPr>
        <w:t>确定聘用的人员应在规定时间到学校报到并接受工作分配。拒不报到的，取消其聘用资格。</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（八）聘用后的待遇</w:t>
      </w:r>
    </w:p>
    <w:p>
      <w:pPr>
        <w:pStyle w:val="4"/>
        <w:keepNext w:val="0"/>
        <w:keepLines w:val="0"/>
        <w:widowControl/>
        <w:suppressLineNumbers w:val="0"/>
        <w:wordWrap w:val="0"/>
        <w:spacing w:before="300" w:beforeAutospacing="0" w:after="300" w:afterAutospacing="0" w:line="480" w:lineRule="atLeast"/>
        <w:ind w:left="0" w:right="0" w:firstLine="600"/>
        <w:jc w:val="left"/>
      </w:pPr>
      <w:r>
        <w:rPr>
          <w:rStyle w:val="6"/>
          <w:rFonts w:hint="eastAsia" w:ascii="仿宋" w:hAnsi="仿宋" w:eastAsia="仿宋" w:cs="仿宋"/>
          <w:color w:val="000000"/>
          <w:sz w:val="30"/>
          <w:szCs w:val="30"/>
          <w:bdr w:val="none" w:color="auto" w:sz="0" w:space="0"/>
          <w:shd w:val="clear" w:fill="FFFFFF"/>
          <w:vertAlign w:val="baseline"/>
        </w:rPr>
        <w:t>（1）人才引进费</w:t>
      </w:r>
    </w:p>
    <w:p>
      <w:pPr>
        <w:pStyle w:val="4"/>
        <w:keepNext w:val="0"/>
        <w:keepLines w:val="0"/>
        <w:widowControl/>
        <w:suppressLineNumbers w:val="0"/>
        <w:wordWrap w:val="0"/>
        <w:spacing w:before="300" w:beforeAutospacing="0" w:after="300" w:afterAutospacing="0" w:line="480" w:lineRule="atLeast"/>
        <w:ind w:left="0" w:right="0" w:firstLine="600"/>
        <w:jc w:val="left"/>
      </w:pPr>
      <w:r>
        <w:rPr>
          <w:rFonts w:hint="eastAsia" w:ascii="仿宋" w:hAnsi="仿宋" w:eastAsia="仿宋" w:cs="仿宋"/>
          <w:color w:val="000000"/>
          <w:sz w:val="30"/>
          <w:szCs w:val="30"/>
          <w:bdr w:val="none" w:color="auto" w:sz="0" w:space="0"/>
          <w:shd w:val="clear" w:fill="FFFFFF"/>
          <w:vertAlign w:val="baseline"/>
        </w:rPr>
        <w:t>为引进博士提供人才引进费50—80万（含遵义市引进具有博士研究生学历学位人才政策中给予的一次性安家费25</w:t>
      </w:r>
      <w:bookmarkStart w:id="0" w:name="_GoBack"/>
      <w:bookmarkEnd w:id="0"/>
      <w:r>
        <w:rPr>
          <w:rFonts w:hint="eastAsia" w:ascii="仿宋" w:hAnsi="仿宋" w:eastAsia="仿宋" w:cs="仿宋"/>
          <w:color w:val="000000"/>
          <w:sz w:val="30"/>
          <w:szCs w:val="30"/>
          <w:bdr w:val="none" w:color="auto" w:sz="0" w:space="0"/>
          <w:shd w:val="clear" w:fill="FFFFFF"/>
          <w:vertAlign w:val="baseline"/>
        </w:rPr>
        <w:t>万元），分三次发放。</w:t>
      </w:r>
    </w:p>
    <w:tbl>
      <w:tblPr>
        <w:tblW w:w="6940"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47"/>
        <w:gridCol w:w="1034"/>
        <w:gridCol w:w="1124"/>
        <w:gridCol w:w="1374"/>
        <w:gridCol w:w="1361"/>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PrEx>
        <w:trPr>
          <w:trHeight w:val="1931" w:hRule="atLeast"/>
        </w:trPr>
        <w:tc>
          <w:tcPr>
            <w:tcW w:w="2047"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  人才引            进费</w:t>
            </w:r>
          </w:p>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类别</w:t>
            </w:r>
          </w:p>
        </w:tc>
        <w:tc>
          <w:tcPr>
            <w:tcW w:w="1034"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当年首付</w:t>
            </w:r>
          </w:p>
        </w:tc>
        <w:tc>
          <w:tcPr>
            <w:tcW w:w="1124"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三年后</w:t>
            </w:r>
          </w:p>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考核发放</w:t>
            </w:r>
          </w:p>
        </w:tc>
        <w:tc>
          <w:tcPr>
            <w:tcW w:w="1374"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五年后</w:t>
            </w:r>
          </w:p>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考核发放</w:t>
            </w:r>
          </w:p>
        </w:tc>
        <w:tc>
          <w:tcPr>
            <w:tcW w:w="1361"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最高预期</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8" w:hRule="atLeast"/>
        </w:trPr>
        <w:tc>
          <w:tcPr>
            <w:tcW w:w="2047"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一类</w:t>
            </w:r>
          </w:p>
        </w:tc>
        <w:tc>
          <w:tcPr>
            <w:tcW w:w="10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50万元</w:t>
            </w:r>
          </w:p>
        </w:tc>
        <w:tc>
          <w:tcPr>
            <w:tcW w:w="11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7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6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80万元</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8" w:hRule="atLeast"/>
        </w:trPr>
        <w:tc>
          <w:tcPr>
            <w:tcW w:w="2047"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二类</w:t>
            </w:r>
          </w:p>
        </w:tc>
        <w:tc>
          <w:tcPr>
            <w:tcW w:w="10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40万元</w:t>
            </w:r>
          </w:p>
        </w:tc>
        <w:tc>
          <w:tcPr>
            <w:tcW w:w="11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7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6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70万元</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1" w:hRule="atLeast"/>
        </w:trPr>
        <w:tc>
          <w:tcPr>
            <w:tcW w:w="2047"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三类</w:t>
            </w:r>
          </w:p>
        </w:tc>
        <w:tc>
          <w:tcPr>
            <w:tcW w:w="10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28"/>
                <w:szCs w:val="28"/>
                <w:bdr w:val="none" w:color="auto" w:sz="0" w:space="0"/>
                <w:vertAlign w:val="baseline"/>
              </w:rPr>
              <w:t>30万元</w:t>
            </w:r>
          </w:p>
        </w:tc>
        <w:tc>
          <w:tcPr>
            <w:tcW w:w="11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7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10-15万元</w:t>
            </w:r>
          </w:p>
        </w:tc>
        <w:tc>
          <w:tcPr>
            <w:tcW w:w="136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pPr>
            <w:r>
              <w:rPr>
                <w:rFonts w:hint="eastAsia" w:ascii="仿宋" w:hAnsi="仿宋" w:eastAsia="仿宋" w:cs="仿宋"/>
                <w:color w:val="000000"/>
                <w:sz w:val="28"/>
                <w:szCs w:val="28"/>
                <w:bdr w:val="none" w:color="auto" w:sz="0" w:space="0"/>
                <w:vertAlign w:val="baseline"/>
              </w:rPr>
              <w:t>60万元</w:t>
            </w:r>
          </w:p>
        </w:tc>
      </w:tr>
    </w:tbl>
    <w:p>
      <w:pPr>
        <w:pStyle w:val="4"/>
        <w:keepNext w:val="0"/>
        <w:keepLines w:val="0"/>
        <w:widowControl/>
        <w:suppressLineNumbers w:val="0"/>
        <w:wordWrap w:val="0"/>
        <w:spacing w:before="300" w:beforeAutospacing="0" w:after="300" w:afterAutospacing="0" w:line="480" w:lineRule="atLeast"/>
        <w:ind w:left="0" w:right="0" w:firstLine="630"/>
      </w:pPr>
      <w:r>
        <w:rPr>
          <w:rStyle w:val="6"/>
          <w:rFonts w:hint="default" w:ascii="仿宋_GB2312" w:eastAsia="仿宋_GB2312" w:cs="仿宋_GB2312"/>
          <w:color w:val="000000"/>
          <w:sz w:val="31"/>
          <w:szCs w:val="31"/>
          <w:bdr w:val="none" w:color="auto" w:sz="0" w:space="0"/>
          <w:shd w:val="clear" w:fill="FFFFFF"/>
          <w:vertAlign w:val="baseline"/>
        </w:rPr>
        <w:t>（2）科研支持</w:t>
      </w:r>
    </w:p>
    <w:p>
      <w:pPr>
        <w:pStyle w:val="4"/>
        <w:keepNext w:val="0"/>
        <w:keepLines w:val="0"/>
        <w:widowControl/>
        <w:suppressLineNumbers w:val="0"/>
        <w:wordWrap w:val="0"/>
        <w:spacing w:before="300" w:beforeAutospacing="0" w:after="300" w:afterAutospacing="0" w:line="480" w:lineRule="atLeast"/>
        <w:ind w:left="0" w:right="0" w:firstLine="630"/>
      </w:pPr>
      <w:r>
        <w:rPr>
          <w:rFonts w:hint="eastAsia" w:ascii="仿宋" w:hAnsi="仿宋" w:eastAsia="仿宋" w:cs="仿宋"/>
          <w:color w:val="000000"/>
          <w:sz w:val="31"/>
          <w:szCs w:val="31"/>
          <w:bdr w:val="none" w:color="auto" w:sz="0" w:space="0"/>
          <w:shd w:val="clear" w:fill="FFFFFF"/>
          <w:vertAlign w:val="baseline"/>
        </w:rPr>
        <w:t>根据引进人才到校后申报科研课题的情况，学校提供科研启动经费；同时创造条件，给引进博士提供相应科研平台。学校为引进博士开展科学研究工作提供相应类别的项目启动经费。</w:t>
      </w:r>
    </w:p>
    <w:tbl>
      <w:tblPr>
        <w:tblW w:w="7350"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40"/>
        <w:gridCol w:w="2250"/>
        <w:gridCol w:w="3660"/>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PrEx>
        <w:trPr>
          <w:trHeight w:val="1366" w:hRule="atLeast"/>
        </w:trPr>
        <w:tc>
          <w:tcPr>
            <w:tcW w:w="1440"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 xml:space="preserve">   经费    </w:t>
            </w:r>
          </w:p>
          <w:p>
            <w:pPr>
              <w:pStyle w:val="4"/>
              <w:keepNext w:val="0"/>
              <w:keepLines w:val="0"/>
              <w:widowControl/>
              <w:suppressLineNumbers w:val="0"/>
              <w:wordWrap w:val="0"/>
              <w:spacing w:line="480" w:lineRule="atLeast"/>
            </w:pPr>
            <w:r>
              <w:rPr>
                <w:rFonts w:hint="eastAsia" w:ascii="仿宋" w:hAnsi="仿宋" w:eastAsia="仿宋" w:cs="仿宋"/>
                <w:color w:val="000000"/>
                <w:sz w:val="31"/>
                <w:szCs w:val="31"/>
                <w:bdr w:val="none" w:color="auto" w:sz="0" w:space="0"/>
                <w:vertAlign w:val="baseline"/>
              </w:rPr>
              <w:t>类别</w:t>
            </w:r>
          </w:p>
        </w:tc>
        <w:tc>
          <w:tcPr>
            <w:tcW w:w="2250"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文科</w:t>
            </w:r>
          </w:p>
        </w:tc>
        <w:tc>
          <w:tcPr>
            <w:tcW w:w="3660" w:type="dxa"/>
            <w:tcBorders>
              <w:top w:val="single" w:color="auto" w:sz="12"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理工科</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40"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一类</w:t>
            </w:r>
          </w:p>
        </w:tc>
        <w:tc>
          <w:tcPr>
            <w:tcW w:w="225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10-30万元</w:t>
            </w:r>
          </w:p>
        </w:tc>
        <w:tc>
          <w:tcPr>
            <w:tcW w:w="366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15-40万元</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40"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二类</w:t>
            </w:r>
          </w:p>
        </w:tc>
        <w:tc>
          <w:tcPr>
            <w:tcW w:w="225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5-20万元</w:t>
            </w:r>
          </w:p>
        </w:tc>
        <w:tc>
          <w:tcPr>
            <w:tcW w:w="366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10-30万元</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440" w:type="dxa"/>
            <w:tcBorders>
              <w:top w:val="nil"/>
              <w:left w:val="single" w:color="auto" w:sz="12"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三类</w:t>
            </w:r>
          </w:p>
        </w:tc>
        <w:tc>
          <w:tcPr>
            <w:tcW w:w="225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5-10万元</w:t>
            </w:r>
          </w:p>
        </w:tc>
        <w:tc>
          <w:tcPr>
            <w:tcW w:w="366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480" w:lineRule="atLeast"/>
              <w:jc w:val="center"/>
            </w:pPr>
            <w:r>
              <w:rPr>
                <w:rFonts w:hint="eastAsia" w:ascii="仿宋" w:hAnsi="仿宋" w:eastAsia="仿宋" w:cs="仿宋"/>
                <w:color w:val="000000"/>
                <w:sz w:val="31"/>
                <w:szCs w:val="31"/>
                <w:bdr w:val="none" w:color="auto" w:sz="0" w:space="0"/>
                <w:vertAlign w:val="baseline"/>
              </w:rPr>
              <w:t>10-20万元</w:t>
            </w:r>
          </w:p>
        </w:tc>
      </w:tr>
    </w:tbl>
    <w:p>
      <w:pPr>
        <w:pStyle w:val="4"/>
        <w:keepNext w:val="0"/>
        <w:keepLines w:val="0"/>
        <w:widowControl/>
        <w:suppressLineNumbers w:val="0"/>
        <w:wordWrap w:val="0"/>
        <w:spacing w:before="300" w:beforeAutospacing="0" w:after="300" w:afterAutospacing="0" w:line="480" w:lineRule="atLeast"/>
        <w:ind w:left="0" w:right="0" w:firstLine="630"/>
      </w:pPr>
      <w:r>
        <w:rPr>
          <w:rFonts w:hint="eastAsia" w:ascii="仿宋" w:hAnsi="仿宋" w:eastAsia="仿宋" w:cs="仿宋"/>
          <w:color w:val="000000"/>
          <w:sz w:val="31"/>
          <w:szCs w:val="31"/>
          <w:bdr w:val="none" w:color="auto" w:sz="0" w:space="0"/>
          <w:shd w:val="clear" w:fill="FFFFFF"/>
          <w:vertAlign w:val="baseline"/>
        </w:rPr>
        <w:t>引进博士以科研立项的形式向学校科研处申请课题研究启动经费，通过项目评审结题。</w:t>
      </w:r>
    </w:p>
    <w:p>
      <w:pPr>
        <w:pStyle w:val="4"/>
        <w:keepNext w:val="0"/>
        <w:keepLines w:val="0"/>
        <w:widowControl/>
        <w:suppressLineNumbers w:val="0"/>
        <w:wordWrap w:val="0"/>
        <w:spacing w:before="300" w:beforeAutospacing="0" w:after="300" w:afterAutospacing="0" w:line="480" w:lineRule="atLeast"/>
        <w:ind w:left="0" w:right="0" w:firstLine="645"/>
        <w:jc w:val="left"/>
      </w:pPr>
      <w:r>
        <w:rPr>
          <w:rStyle w:val="6"/>
          <w:rFonts w:hint="default" w:ascii="仿宋_GB2312" w:eastAsia="仿宋_GB2312" w:cs="仿宋_GB2312"/>
          <w:color w:val="000000"/>
          <w:sz w:val="31"/>
          <w:szCs w:val="31"/>
          <w:bdr w:val="none" w:color="auto" w:sz="0" w:space="0"/>
          <w:shd w:val="clear" w:fill="FFFFFF"/>
          <w:vertAlign w:val="baseline"/>
        </w:rPr>
        <w:t>（3）工资待遇</w:t>
      </w:r>
    </w:p>
    <w:p>
      <w:pPr>
        <w:pStyle w:val="4"/>
        <w:keepNext w:val="0"/>
        <w:keepLines w:val="0"/>
        <w:widowControl/>
        <w:suppressLineNumbers w:val="0"/>
        <w:wordWrap w:val="0"/>
        <w:spacing w:before="300" w:beforeAutospacing="0" w:after="300" w:afterAutospacing="0" w:line="480" w:lineRule="atLeast"/>
        <w:ind w:left="0" w:right="0" w:firstLine="645"/>
        <w:jc w:val="left"/>
      </w:pPr>
      <w:r>
        <w:rPr>
          <w:rFonts w:hint="default" w:ascii="仿宋_GB2312" w:eastAsia="仿宋_GB2312" w:cs="仿宋_GB2312"/>
          <w:color w:val="000000"/>
          <w:sz w:val="31"/>
          <w:szCs w:val="31"/>
          <w:bdr w:val="none" w:color="auto" w:sz="0" w:space="0"/>
          <w:shd w:val="clear" w:fill="FFFFFF"/>
          <w:vertAlign w:val="baseline"/>
        </w:rPr>
        <w:t>根据国家、遵义市及学校的相关政策，享受事业单位工作人员相应工资待遇，没有工作经历的博士，可直接享受副高职称（专业技术七级）待遇，每月享受1200元的高级人才津贴。但需在工作3年内取得副高专业技术职务任职资格，未在规定时间内取得副高任职资格的，改为享受中级专业技术职务待遇。</w:t>
      </w:r>
    </w:p>
    <w:p>
      <w:pPr>
        <w:pStyle w:val="4"/>
        <w:keepNext w:val="0"/>
        <w:keepLines w:val="0"/>
        <w:widowControl/>
        <w:suppressLineNumbers w:val="0"/>
        <w:wordWrap w:val="0"/>
        <w:spacing w:before="300" w:beforeAutospacing="0" w:after="300" w:afterAutospacing="0" w:line="480" w:lineRule="atLeast"/>
        <w:ind w:left="0" w:right="0" w:firstLine="645"/>
      </w:pPr>
      <w:r>
        <w:rPr>
          <w:rStyle w:val="6"/>
          <w:rFonts w:hint="default" w:ascii="仿宋_GB2312" w:eastAsia="仿宋_GB2312" w:cs="仿宋_GB2312"/>
          <w:color w:val="000000"/>
          <w:sz w:val="31"/>
          <w:szCs w:val="31"/>
          <w:bdr w:val="none" w:color="auto" w:sz="0" w:space="0"/>
          <w:shd w:val="clear" w:fill="FFFFFF"/>
          <w:vertAlign w:val="baseline"/>
        </w:rPr>
        <w:t>五、监督</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学校公开招聘研究生工作，严格遵守公开招聘的相关规定，做到公开、公平、公正。</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监督电话：0851-28927163（遵义师范学院纪委）；0851-28662655（遵义市人力资源和社会保障局）。</w:t>
      </w:r>
    </w:p>
    <w:p>
      <w:pPr>
        <w:pStyle w:val="4"/>
        <w:keepNext w:val="0"/>
        <w:keepLines w:val="0"/>
        <w:widowControl/>
        <w:suppressLineNumbers w:val="0"/>
        <w:wordWrap w:val="0"/>
        <w:spacing w:before="300" w:beforeAutospacing="0" w:after="300" w:afterAutospacing="0" w:line="480" w:lineRule="atLeast"/>
        <w:ind w:left="0" w:right="0" w:firstLine="645"/>
      </w:pPr>
      <w:r>
        <w:rPr>
          <w:rFonts w:hint="eastAsia" w:ascii="黑体" w:hAnsi="宋体" w:eastAsia="黑体" w:cs="黑体"/>
          <w:color w:val="000000"/>
          <w:sz w:val="31"/>
          <w:szCs w:val="31"/>
          <w:bdr w:val="none" w:color="auto" w:sz="0" w:space="0"/>
          <w:shd w:val="clear" w:fill="FFFFFF"/>
          <w:vertAlign w:val="baseline"/>
        </w:rPr>
        <w:t>六、其它</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本招考简章由遵义师范学院公开招聘工作领导小组负责解释，未尽事宜由领导小组研究决定；如出现重大争议事项，提请市人力资源和社会保障局裁决。</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 </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                                    遵义师范学院</w:t>
      </w:r>
    </w:p>
    <w:p>
      <w:pPr>
        <w:pStyle w:val="4"/>
        <w:keepNext w:val="0"/>
        <w:keepLines w:val="0"/>
        <w:widowControl/>
        <w:suppressLineNumbers w:val="0"/>
        <w:wordWrap w:val="0"/>
        <w:spacing w:before="300" w:beforeAutospacing="0" w:after="300" w:afterAutospacing="0" w:line="480" w:lineRule="atLeast"/>
        <w:ind w:left="0" w:right="0" w:firstLine="645"/>
      </w:pPr>
      <w:r>
        <w:rPr>
          <w:rFonts w:hint="default" w:ascii="仿宋_GB2312" w:eastAsia="仿宋_GB2312" w:cs="仿宋_GB2312"/>
          <w:color w:val="000000"/>
          <w:sz w:val="31"/>
          <w:szCs w:val="31"/>
          <w:bdr w:val="none" w:color="auto" w:sz="0" w:space="0"/>
          <w:shd w:val="clear" w:fill="FFFFFF"/>
          <w:vertAlign w:val="baseline"/>
        </w:rPr>
        <w:t>                                   2018年3月12日</w:t>
      </w:r>
    </w:p>
    <w:p>
      <w:pPr>
        <w:pStyle w:val="4"/>
        <w:keepNext w:val="0"/>
        <w:keepLines w:val="0"/>
        <w:widowControl/>
        <w:suppressLineNumbers w:val="0"/>
        <w:wordWrap w:val="0"/>
        <w:spacing w:before="300" w:beforeAutospacing="0" w:after="300" w:afterAutospacing="0" w:line="405" w:lineRule="atLeast"/>
        <w:ind w:left="0" w:right="0"/>
      </w:pPr>
      <w:r>
        <w:rPr>
          <w:rFonts w:hint="eastAsia" w:ascii="黑体" w:hAnsi="宋体" w:eastAsia="黑体" w:cs="黑体"/>
          <w:color w:val="000000"/>
          <w:sz w:val="31"/>
          <w:szCs w:val="31"/>
          <w:bdr w:val="none" w:color="auto" w:sz="0" w:space="0"/>
          <w:shd w:val="clear" w:fill="FFFFFF"/>
          <w:vertAlign w:val="baseline"/>
        </w:rPr>
        <w:t> </w:t>
      </w:r>
    </w:p>
    <w:p>
      <w:pPr>
        <w:pStyle w:val="4"/>
        <w:keepNext w:val="0"/>
        <w:keepLines w:val="0"/>
        <w:widowControl/>
        <w:suppressLineNumbers w:val="0"/>
        <w:wordWrap w:val="0"/>
        <w:spacing w:before="300" w:beforeAutospacing="0" w:after="300" w:afterAutospacing="0" w:line="405" w:lineRule="atLeast"/>
        <w:ind w:left="0" w:right="0"/>
        <w:jc w:val="center"/>
      </w:pPr>
      <w:r>
        <w:rPr>
          <w:rFonts w:hint="eastAsia" w:ascii="黑体" w:hAnsi="宋体" w:eastAsia="黑体" w:cs="黑体"/>
          <w:color w:val="000000"/>
          <w:sz w:val="31"/>
          <w:szCs w:val="31"/>
          <w:bdr w:val="none" w:color="auto" w:sz="0" w:space="0"/>
          <w:shd w:val="clear" w:fill="FFFFFF"/>
          <w:vertAlign w:val="baseline"/>
        </w:rPr>
        <w:t> </w:t>
      </w:r>
    </w:p>
    <w:p>
      <w:pPr>
        <w:pStyle w:val="4"/>
        <w:keepNext w:val="0"/>
        <w:keepLines w:val="0"/>
        <w:widowControl/>
        <w:suppressLineNumbers w:val="0"/>
        <w:wordWrap w:val="0"/>
        <w:spacing w:before="300" w:beforeAutospacing="0" w:after="300" w:afterAutospacing="0" w:line="405" w:lineRule="atLeast"/>
        <w:ind w:left="0" w:right="0"/>
        <w:jc w:val="center"/>
      </w:pPr>
      <w:r>
        <w:rPr>
          <w:rFonts w:hint="eastAsia" w:ascii="黑体" w:hAnsi="宋体" w:eastAsia="黑体" w:cs="黑体"/>
          <w:color w:val="000000"/>
          <w:sz w:val="31"/>
          <w:szCs w:val="31"/>
          <w:bdr w:val="none" w:color="auto" w:sz="0" w:space="0"/>
          <w:shd w:val="clear" w:fill="FFFFFF"/>
          <w:vertAlign w:val="baseline"/>
        </w:rPr>
        <w:t>遵义师范学院2018公开招聘博士研究生职位表</w:t>
      </w:r>
    </w:p>
    <w:bookmarkEnd w:id="1"/>
    <w:p>
      <w:pPr>
        <w:pStyle w:val="4"/>
        <w:keepNext w:val="0"/>
        <w:keepLines w:val="0"/>
        <w:widowControl/>
        <w:suppressLineNumbers w:val="0"/>
        <w:wordWrap w:val="0"/>
        <w:spacing w:before="300" w:beforeAutospacing="0" w:after="300" w:afterAutospacing="0" w:line="405" w:lineRule="atLeast"/>
        <w:ind w:left="0" w:right="0"/>
        <w:jc w:val="center"/>
      </w:pPr>
      <w:r>
        <w:rPr>
          <w:rFonts w:hint="eastAsia" w:ascii="黑体" w:hAnsi="宋体" w:eastAsia="黑体" w:cs="黑体"/>
          <w:color w:val="000000"/>
          <w:sz w:val="31"/>
          <w:szCs w:val="31"/>
          <w:bdr w:val="none" w:color="auto" w:sz="0" w:space="0"/>
          <w:shd w:val="clear" w:fill="FFFFFF"/>
          <w:vertAlign w:val="baseline"/>
        </w:rPr>
        <w:t> </w:t>
      </w:r>
    </w:p>
    <w:tbl>
      <w:tblPr>
        <w:tblW w:w="8513"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95"/>
        <w:gridCol w:w="726"/>
        <w:gridCol w:w="634"/>
        <w:gridCol w:w="2007"/>
        <w:gridCol w:w="1424"/>
        <w:gridCol w:w="2427"/>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1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所属部门</w:t>
            </w:r>
          </w:p>
        </w:tc>
        <w:tc>
          <w:tcPr>
            <w:tcW w:w="726"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职位</w:t>
            </w:r>
          </w:p>
        </w:tc>
        <w:tc>
          <w:tcPr>
            <w:tcW w:w="634"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招聘人数</w:t>
            </w:r>
          </w:p>
        </w:tc>
        <w:tc>
          <w:tcPr>
            <w:tcW w:w="2007"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专业</w:t>
            </w:r>
          </w:p>
        </w:tc>
        <w:tc>
          <w:tcPr>
            <w:tcW w:w="1424"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学历学位</w:t>
            </w:r>
          </w:p>
        </w:tc>
        <w:tc>
          <w:tcPr>
            <w:tcW w:w="2427"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eastAsia" w:ascii="黑体" w:hAnsi="宋体" w:eastAsia="黑体" w:cs="黑体"/>
                <w:color w:val="000000"/>
                <w:sz w:val="24"/>
                <w:szCs w:val="24"/>
                <w:bdr w:val="none" w:color="auto" w:sz="0" w:space="0"/>
                <w:vertAlign w:val="baseline"/>
              </w:rPr>
              <w:t>其它条件</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图书馆</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01</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不限</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硕士学历为计算机相关专业或图书情报专业。</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人文与传媒学院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02</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3</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中国语言文学类、新闻传播学类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管理学院（商学院）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03</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社会学类、民族学类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硕、博专业相同或相近。</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管理学院（商学院）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04</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物流工程、管理科学与工程类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硕、博专业相同或相近。</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管理学院（商学院）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05</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3</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财政学、金融、金融学、工商管理类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硕、博专业相同或相近；具有相关行业从业资格证或高校任教经历。</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历史文化与旅游学院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06</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人文地理学及相关专业</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历史文化与旅游学院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07</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旅游管理及相关专业</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历史文化与旅游学院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08</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世界史类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年龄40岁以下，外语熟练。</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教师教育学院（心理健康与咨询中心）</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09</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学前教育、学前教育学</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教师教育学院（心理健康与咨询中心）</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10</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教育学类（非学科门类）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教师教育学院（心理健康与咨询中心）</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11</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心理学类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教师教育学院（心理健康与咨询中心）</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12</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小学教育及相关专业</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数学学院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13</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4</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数学类、计算机科学与技术类、统计学类、系统工程</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化学化工学院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14</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化学类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年龄35岁以下。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资源与环境学院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15</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环境工程,植物营养学及相关专业</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生物与农业科技学院（食品科技学院）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16</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食品科学与工程类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年龄35岁以下。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物理与电子科学学院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17</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材料科学与工程类、物理化学专业</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物理与电子科学学院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18</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粒子物理与原子核物理、理论物理 、凝聚态物理、光学、天体物理、天体测量与天体力学</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物理与电子科学学院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19</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 电子科学与技术类、控制理论与控制工程、检测技术与自动化装置</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物理与电子科学学院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20</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课程与教学论、教育技术学、学科教学（物理）</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工学院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21</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土木工程类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工学院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22</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机械工程类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工学院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23</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电气工程类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信息工程学院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24</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计算机科学与技术类、信息与通信工程类、控制科学与工程类</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25</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体育、体育学、学科教学（体育）</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年龄40岁以下，需作足球专业测试。</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26</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体育、体育学、学科教学（体育）</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年龄40岁以下，需作网球专业测试。</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27</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1</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体育、体育学、学科教学（体育）</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体育学院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28</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美术、美术学、学科教学（美术）</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音乐与舞蹈学院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29</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音乐与舞蹈学类、音乐、学科教学（音乐）</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马克思主义学院</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30</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4</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马克思主义基本原理、马克思主义中国化研究、思想政治教育、中共党史</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年龄40岁以下。</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外国语学院（公共外语教学部）</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31</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2</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汉语国际教育、英语语言文学</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default" w:ascii="仿宋_GB2312" w:eastAsia="仿宋_GB2312" w:cs="仿宋_GB2312"/>
                <w:color w:val="000000"/>
                <w:sz w:val="24"/>
                <w:szCs w:val="24"/>
                <w:bdr w:val="none" w:color="auto" w:sz="0" w:space="0"/>
                <w:vertAlign w:val="baseline"/>
              </w:rPr>
              <w:t>博士学历学位</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left"/>
            </w:pPr>
            <w:r>
              <w:rPr>
                <w:rFonts w:hint="default" w:ascii="仿宋_GB2312" w:eastAsia="仿宋_GB2312" w:cs="仿宋_GB2312"/>
                <w:color w:val="000000"/>
                <w:sz w:val="24"/>
                <w:szCs w:val="24"/>
                <w:bdr w:val="none" w:color="auto" w:sz="0" w:space="0"/>
                <w:vertAlign w:val="baseline"/>
              </w:rPr>
              <w:t>　</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合计</w:t>
            </w:r>
          </w:p>
        </w:tc>
        <w:tc>
          <w:tcPr>
            <w:tcW w:w="726"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　</w:t>
            </w:r>
          </w:p>
        </w:tc>
        <w:tc>
          <w:tcPr>
            <w:tcW w:w="63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57</w:t>
            </w:r>
          </w:p>
        </w:tc>
        <w:tc>
          <w:tcPr>
            <w:tcW w:w="200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　</w:t>
            </w:r>
          </w:p>
        </w:tc>
        <w:tc>
          <w:tcPr>
            <w:tcW w:w="1424"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　</w:t>
            </w:r>
          </w:p>
        </w:tc>
        <w:tc>
          <w:tcPr>
            <w:tcW w:w="24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jc w:val="center"/>
            </w:pPr>
            <w:r>
              <w:rPr>
                <w:rFonts w:hint="default" w:ascii="仿宋_GB2312" w:eastAsia="仿宋_GB2312" w:cs="仿宋_GB2312"/>
                <w:color w:val="000000"/>
                <w:sz w:val="24"/>
                <w:szCs w:val="24"/>
                <w:bdr w:val="none" w:color="auto" w:sz="0" w:space="0"/>
                <w:vertAlign w:val="baseline"/>
              </w:rPr>
              <w:t>　</w:t>
            </w:r>
          </w:p>
        </w:tc>
      </w:tr>
    </w:tbl>
    <w:p>
      <w:pPr>
        <w:pStyle w:val="4"/>
        <w:keepNext w:val="0"/>
        <w:keepLines w:val="0"/>
        <w:widowControl/>
        <w:suppressLineNumbers w:val="0"/>
        <w:wordWrap w:val="0"/>
        <w:spacing w:before="300" w:beforeAutospacing="0" w:after="300" w:afterAutospacing="0" w:line="405" w:lineRule="atLeast"/>
        <w:ind w:left="0" w:right="0"/>
        <w:jc w:val="center"/>
      </w:pPr>
      <w:r>
        <w:rPr>
          <w:rFonts w:hint="eastAsia" w:ascii="黑体" w:hAnsi="宋体" w:eastAsia="黑体" w:cs="黑体"/>
          <w:color w:val="000000"/>
          <w:sz w:val="31"/>
          <w:szCs w:val="31"/>
          <w:bdr w:val="none" w:color="auto" w:sz="0" w:space="0"/>
          <w:shd w:val="clear" w:fill="FFFFFF"/>
          <w:vertAlign w:val="baseline"/>
        </w:rPr>
        <w:t>遵义师范学院2018年公开招聘博士研究生报名表</w:t>
      </w:r>
    </w:p>
    <w:p>
      <w:pPr>
        <w:pStyle w:val="4"/>
        <w:keepNext w:val="0"/>
        <w:keepLines w:val="0"/>
        <w:widowControl/>
        <w:suppressLineNumbers w:val="0"/>
        <w:wordWrap w:val="0"/>
        <w:spacing w:before="300" w:beforeAutospacing="0" w:after="300" w:afterAutospacing="0" w:line="480" w:lineRule="atLeast"/>
        <w:ind w:left="0" w:right="0"/>
      </w:pPr>
      <w:r>
        <w:rPr>
          <w:rFonts w:hint="eastAsia" w:ascii="宋体" w:hAnsi="宋体" w:eastAsia="宋体" w:cs="宋体"/>
          <w:color w:val="000000"/>
          <w:sz w:val="30"/>
          <w:szCs w:val="30"/>
          <w:bdr w:val="none" w:color="auto" w:sz="0" w:space="0"/>
          <w:shd w:val="clear" w:fill="FFFFFF"/>
          <w:vertAlign w:val="baseline"/>
        </w:rPr>
        <w:t>                                            职位代码：</w:t>
      </w:r>
    </w:p>
    <w:tbl>
      <w:tblPr>
        <w:tblW w:w="8512"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55"/>
        <w:gridCol w:w="1038"/>
        <w:gridCol w:w="173"/>
        <w:gridCol w:w="966"/>
        <w:gridCol w:w="72"/>
        <w:gridCol w:w="1053"/>
        <w:gridCol w:w="86"/>
        <w:gridCol w:w="1096"/>
        <w:gridCol w:w="1082"/>
        <w:gridCol w:w="1991"/>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trPr>
        <w:tc>
          <w:tcPr>
            <w:tcW w:w="9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ascii="楷体" w:hAnsi="楷体" w:eastAsia="楷体" w:cs="楷体"/>
                <w:color w:val="000000"/>
                <w:sz w:val="24"/>
                <w:szCs w:val="24"/>
                <w:bdr w:val="none" w:color="auto" w:sz="0" w:space="0"/>
                <w:vertAlign w:val="baseline"/>
              </w:rPr>
              <w:t>姓名</w:t>
            </w:r>
          </w:p>
        </w:tc>
        <w:tc>
          <w:tcPr>
            <w:tcW w:w="1211"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038"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性别</w:t>
            </w:r>
          </w:p>
        </w:tc>
        <w:tc>
          <w:tcPr>
            <w:tcW w:w="1053"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82"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出生年月</w:t>
            </w:r>
          </w:p>
        </w:tc>
        <w:tc>
          <w:tcPr>
            <w:tcW w:w="1082"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991"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spacing w:line="555" w:lineRule="atLeast"/>
              <w:ind w:left="0" w:firstLine="840"/>
            </w:pPr>
            <w:r>
              <w:rPr>
                <w:rFonts w:hint="eastAsia" w:ascii="楷体" w:hAnsi="楷体" w:eastAsia="楷体" w:cs="楷体"/>
                <w:color w:val="000000"/>
                <w:sz w:val="24"/>
                <w:szCs w:val="24"/>
                <w:bdr w:val="none" w:color="auto" w:sz="0" w:space="0"/>
                <w:vertAlign w:val="baseline"/>
              </w:rPr>
              <w:t>相</w:t>
            </w:r>
          </w:p>
          <w:p>
            <w:pPr>
              <w:pStyle w:val="4"/>
              <w:keepNext w:val="0"/>
              <w:keepLines w:val="0"/>
              <w:widowControl/>
              <w:suppressLineNumbers w:val="0"/>
              <w:wordWrap w:val="0"/>
              <w:spacing w:line="555" w:lineRule="atLeast"/>
              <w:ind w:left="0" w:firstLine="840"/>
            </w:pPr>
            <w:r>
              <w:rPr>
                <w:rFonts w:hint="eastAsia" w:ascii="楷体" w:hAnsi="楷体" w:eastAsia="楷体" w:cs="楷体"/>
                <w:color w:val="000000"/>
                <w:sz w:val="24"/>
                <w:szCs w:val="24"/>
                <w:bdr w:val="none" w:color="auto" w:sz="0" w:space="0"/>
                <w:vertAlign w:val="baseline"/>
              </w:rPr>
              <w:t>片</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民族</w:t>
            </w:r>
          </w:p>
        </w:tc>
        <w:tc>
          <w:tcPr>
            <w:tcW w:w="1211"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038"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籍贯</w:t>
            </w:r>
          </w:p>
        </w:tc>
        <w:tc>
          <w:tcPr>
            <w:tcW w:w="1053"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82"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政治面貌</w:t>
            </w:r>
          </w:p>
        </w:tc>
        <w:tc>
          <w:tcPr>
            <w:tcW w:w="1082"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991"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学历</w:t>
            </w:r>
          </w:p>
        </w:tc>
        <w:tc>
          <w:tcPr>
            <w:tcW w:w="1211"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038"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学位</w:t>
            </w:r>
          </w:p>
        </w:tc>
        <w:tc>
          <w:tcPr>
            <w:tcW w:w="1053"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82"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专业方向</w:t>
            </w:r>
          </w:p>
        </w:tc>
        <w:tc>
          <w:tcPr>
            <w:tcW w:w="1082"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991"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955" w:type="dxa"/>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毕业院校及专业</w:t>
            </w:r>
          </w:p>
        </w:tc>
        <w:tc>
          <w:tcPr>
            <w:tcW w:w="3302" w:type="dxa"/>
            <w:gridSpan w:val="5"/>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82"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毕业</w:t>
            </w:r>
          </w:p>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时间</w:t>
            </w:r>
          </w:p>
        </w:tc>
        <w:tc>
          <w:tcPr>
            <w:tcW w:w="1082"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991"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身份证号码</w:t>
            </w:r>
          </w:p>
        </w:tc>
        <w:tc>
          <w:tcPr>
            <w:tcW w:w="3302" w:type="dxa"/>
            <w:gridSpan w:val="5"/>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82"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联系电话（手机）</w:t>
            </w:r>
          </w:p>
        </w:tc>
        <w:tc>
          <w:tcPr>
            <w:tcW w:w="3073"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ind w:left="0" w:firstLine="120"/>
            </w:pPr>
            <w:r>
              <w:rPr>
                <w:rFonts w:hint="eastAsia" w:ascii="楷体" w:hAnsi="楷体" w:eastAsia="楷体" w:cs="楷体"/>
                <w:color w:val="000000"/>
                <w:sz w:val="24"/>
                <w:szCs w:val="24"/>
                <w:bdr w:val="none" w:color="auto" w:sz="0" w:space="0"/>
                <w:vertAlign w:val="baseline"/>
              </w:rPr>
              <w:t>家庭</w:t>
            </w:r>
          </w:p>
          <w:p>
            <w:pPr>
              <w:pStyle w:val="4"/>
              <w:keepNext w:val="0"/>
              <w:keepLines w:val="0"/>
              <w:widowControl/>
              <w:suppressLineNumbers w:val="0"/>
              <w:wordWrap w:val="0"/>
              <w:ind w:left="0" w:firstLine="120"/>
            </w:pPr>
            <w:r>
              <w:rPr>
                <w:rFonts w:hint="eastAsia" w:ascii="楷体" w:hAnsi="楷体" w:eastAsia="楷体" w:cs="楷体"/>
                <w:color w:val="000000"/>
                <w:sz w:val="24"/>
                <w:szCs w:val="24"/>
                <w:bdr w:val="none" w:color="auto" w:sz="0" w:space="0"/>
                <w:vertAlign w:val="baseline"/>
              </w:rPr>
              <w:t>住址</w:t>
            </w:r>
          </w:p>
        </w:tc>
        <w:tc>
          <w:tcPr>
            <w:tcW w:w="7557" w:type="dxa"/>
            <w:gridSpan w:val="9"/>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1"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 </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学</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习</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工</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作</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简</w:t>
            </w:r>
          </w:p>
          <w:p>
            <w:pPr>
              <w:pStyle w:val="4"/>
              <w:keepNext w:val="0"/>
              <w:keepLines w:val="0"/>
              <w:widowControl/>
              <w:suppressLineNumbers w:val="0"/>
              <w:wordWrap w:val="0"/>
              <w:ind w:left="0" w:firstLine="120"/>
              <w:jc w:val="center"/>
            </w:pPr>
            <w:r>
              <w:rPr>
                <w:rFonts w:hint="eastAsia" w:ascii="楷体" w:hAnsi="楷体" w:eastAsia="楷体" w:cs="楷体"/>
                <w:color w:val="000000"/>
                <w:sz w:val="24"/>
                <w:szCs w:val="24"/>
                <w:bdr w:val="none" w:color="auto" w:sz="0" w:space="0"/>
                <w:vertAlign w:val="baseline"/>
              </w:rPr>
              <w:t>历</w:t>
            </w:r>
          </w:p>
        </w:tc>
        <w:tc>
          <w:tcPr>
            <w:tcW w:w="7557" w:type="dxa"/>
            <w:gridSpan w:val="9"/>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55"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家庭成员及主要社会关系</w:t>
            </w:r>
          </w:p>
        </w:tc>
        <w:tc>
          <w:tcPr>
            <w:tcW w:w="1038"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称谓</w:t>
            </w:r>
          </w:p>
        </w:tc>
        <w:tc>
          <w:tcPr>
            <w:tcW w:w="1139"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姓名</w:t>
            </w:r>
          </w:p>
        </w:tc>
        <w:tc>
          <w:tcPr>
            <w:tcW w:w="1211" w:type="dxa"/>
            <w:gridSpan w:val="3"/>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政治面貌</w:t>
            </w:r>
          </w:p>
        </w:tc>
        <w:tc>
          <w:tcPr>
            <w:tcW w:w="4169" w:type="dxa"/>
            <w:gridSpan w:val="3"/>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工作单位及职务</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6" w:hRule="atLeast"/>
        </w:trPr>
        <w:tc>
          <w:tcPr>
            <w:tcW w:w="955"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038"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139"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1211"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c>
          <w:tcPr>
            <w:tcW w:w="4169"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宋体"/>
                <w:color w:val="000000"/>
                <w:sz w:val="18"/>
                <w:szCs w:val="18"/>
                <w:vertAlign w:val="baseline"/>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1" w:hRule="atLeast"/>
        </w:trPr>
        <w:tc>
          <w:tcPr>
            <w:tcW w:w="95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资格</w:t>
            </w:r>
          </w:p>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审查</w:t>
            </w:r>
          </w:p>
          <w:p>
            <w:pPr>
              <w:pStyle w:val="4"/>
              <w:keepNext w:val="0"/>
              <w:keepLines w:val="0"/>
              <w:widowControl/>
              <w:suppressLineNumbers w:val="0"/>
              <w:wordWrap w:val="0"/>
            </w:pPr>
            <w:r>
              <w:rPr>
                <w:rFonts w:hint="eastAsia" w:ascii="楷体" w:hAnsi="楷体" w:eastAsia="楷体" w:cs="楷体"/>
                <w:color w:val="000000"/>
                <w:sz w:val="24"/>
                <w:szCs w:val="24"/>
                <w:bdr w:val="none" w:color="auto" w:sz="0" w:space="0"/>
                <w:vertAlign w:val="baseline"/>
              </w:rPr>
              <w:t>意见</w:t>
            </w:r>
          </w:p>
        </w:tc>
        <w:tc>
          <w:tcPr>
            <w:tcW w:w="7557" w:type="dxa"/>
            <w:gridSpan w:val="9"/>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wordWrap w:val="0"/>
              <w:ind w:left="0" w:firstLine="120"/>
            </w:pPr>
            <w:r>
              <w:rPr>
                <w:rFonts w:hint="eastAsia" w:ascii="楷体" w:hAnsi="楷体" w:eastAsia="楷体" w:cs="楷体"/>
                <w:color w:val="000000"/>
                <w:sz w:val="24"/>
                <w:szCs w:val="24"/>
                <w:bdr w:val="none" w:color="auto" w:sz="0" w:space="0"/>
                <w:vertAlign w:val="baseline"/>
              </w:rPr>
              <w:t> </w:t>
            </w:r>
          </w:p>
          <w:p>
            <w:pPr>
              <w:pStyle w:val="4"/>
              <w:keepNext w:val="0"/>
              <w:keepLines w:val="0"/>
              <w:widowControl/>
              <w:suppressLineNumbers w:val="0"/>
              <w:wordWrap w:val="0"/>
              <w:ind w:left="0" w:firstLine="120"/>
            </w:pPr>
            <w:r>
              <w:rPr>
                <w:rFonts w:hint="eastAsia" w:ascii="楷体" w:hAnsi="楷体" w:eastAsia="楷体" w:cs="楷体"/>
                <w:color w:val="000000"/>
                <w:sz w:val="24"/>
                <w:szCs w:val="24"/>
                <w:bdr w:val="none" w:color="auto" w:sz="0" w:space="0"/>
                <w:vertAlign w:val="baseline"/>
              </w:rPr>
              <w:t> </w:t>
            </w:r>
          </w:p>
          <w:p>
            <w:pPr>
              <w:pStyle w:val="4"/>
              <w:keepNext w:val="0"/>
              <w:keepLines w:val="0"/>
              <w:widowControl/>
              <w:suppressLineNumbers w:val="0"/>
              <w:wordWrap w:val="0"/>
              <w:ind w:left="0" w:firstLine="5520"/>
            </w:pPr>
            <w:r>
              <w:rPr>
                <w:rFonts w:hint="eastAsia" w:ascii="楷体" w:hAnsi="楷体" w:eastAsia="楷体" w:cs="楷体"/>
                <w:color w:val="000000"/>
                <w:sz w:val="24"/>
                <w:szCs w:val="24"/>
                <w:bdr w:val="none" w:color="auto" w:sz="0" w:space="0"/>
                <w:vertAlign w:val="baseline"/>
              </w:rPr>
              <w:t> </w:t>
            </w:r>
          </w:p>
          <w:p>
            <w:pPr>
              <w:pStyle w:val="4"/>
              <w:keepNext w:val="0"/>
              <w:keepLines w:val="0"/>
              <w:widowControl/>
              <w:suppressLineNumbers w:val="0"/>
              <w:wordWrap w:val="0"/>
              <w:ind w:left="0" w:firstLine="5520"/>
            </w:pPr>
            <w:r>
              <w:rPr>
                <w:rFonts w:hint="eastAsia" w:ascii="楷体" w:hAnsi="楷体" w:eastAsia="楷体" w:cs="楷体"/>
                <w:color w:val="000000"/>
                <w:sz w:val="24"/>
                <w:szCs w:val="24"/>
                <w:bdr w:val="none" w:color="auto" w:sz="0" w:space="0"/>
                <w:vertAlign w:val="baseline"/>
              </w:rPr>
              <w:t> </w:t>
            </w:r>
          </w:p>
          <w:p>
            <w:pPr>
              <w:pStyle w:val="4"/>
              <w:keepNext w:val="0"/>
              <w:keepLines w:val="0"/>
              <w:widowControl/>
              <w:suppressLineNumbers w:val="0"/>
              <w:wordWrap w:val="0"/>
              <w:ind w:left="0" w:firstLine="5520"/>
            </w:pPr>
            <w:r>
              <w:rPr>
                <w:rFonts w:hint="eastAsia" w:ascii="楷体" w:hAnsi="楷体" w:eastAsia="楷体" w:cs="楷体"/>
                <w:color w:val="000000"/>
                <w:sz w:val="24"/>
                <w:szCs w:val="24"/>
                <w:bdr w:val="none" w:color="auto" w:sz="0" w:space="0"/>
                <w:vertAlign w:val="baseline"/>
              </w:rPr>
              <w:t>审查人签名：</w:t>
            </w:r>
          </w:p>
          <w:p>
            <w:pPr>
              <w:pStyle w:val="4"/>
              <w:keepNext w:val="0"/>
              <w:keepLines w:val="0"/>
              <w:widowControl/>
              <w:suppressLineNumbers w:val="0"/>
              <w:wordWrap w:val="0"/>
              <w:ind w:left="0" w:firstLine="120"/>
            </w:pPr>
            <w:r>
              <w:rPr>
                <w:rFonts w:hint="eastAsia" w:ascii="楷体" w:hAnsi="楷体" w:eastAsia="楷体" w:cs="楷体"/>
                <w:color w:val="000000"/>
                <w:sz w:val="24"/>
                <w:szCs w:val="24"/>
                <w:bdr w:val="none" w:color="auto" w:sz="0" w:space="0"/>
                <w:vertAlign w:val="baseline"/>
              </w:rPr>
              <w:t>                                           2018年   月   日</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55"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038"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73"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966"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72"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053"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86"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096"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082"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c>
          <w:tcPr>
            <w:tcW w:w="1991" w:type="dxa"/>
            <w:tcBorders>
              <w:top w:val="nil"/>
              <w:left w:val="nil"/>
              <w:bottom w:val="single" w:color="F0F0F0" w:sz="6" w:space="0"/>
              <w:right w:val="single" w:color="F0F0F0" w:sz="6" w:space="0"/>
            </w:tcBorders>
            <w:shd w:val="clear"/>
            <w:vAlign w:val="top"/>
          </w:tcPr>
          <w:p>
            <w:pPr>
              <w:rPr>
                <w:rFonts w:hint="eastAsia" w:ascii="宋体"/>
                <w:color w:val="000000"/>
                <w:sz w:val="18"/>
                <w:szCs w:val="18"/>
                <w:vertAlign w:val="baseline"/>
              </w:rPr>
            </w:pPr>
          </w:p>
        </w:tc>
      </w:tr>
    </w:tbl>
    <w:p>
      <w:pPr>
        <w:pStyle w:val="4"/>
        <w:keepNext w:val="0"/>
        <w:keepLines w:val="0"/>
        <w:widowControl/>
        <w:suppressLineNumbers w:val="0"/>
        <w:wordWrap w:val="0"/>
        <w:spacing w:before="300" w:beforeAutospacing="0" w:after="300" w:afterAutospacing="0" w:line="600" w:lineRule="atLeast"/>
        <w:ind w:left="0" w:right="0" w:firstLine="480"/>
      </w:pPr>
      <w:r>
        <w:rPr>
          <w:rFonts w:hint="default" w:ascii="仿宋_GB2312" w:eastAsia="仿宋_GB2312" w:cs="仿宋_GB2312"/>
          <w:color w:val="000000"/>
          <w:sz w:val="24"/>
          <w:szCs w:val="24"/>
          <w:bdr w:val="none" w:color="auto" w:sz="0" w:space="0"/>
          <w:shd w:val="clear" w:fill="FFFFFF"/>
          <w:vertAlign w:val="baseline"/>
        </w:rPr>
        <w:t> </w:t>
      </w:r>
    </w:p>
    <w:p>
      <w:pPr>
        <w:keepNext w:val="0"/>
        <w:keepLines w:val="0"/>
        <w:widowControl/>
        <w:suppressLineNumbers w:val="0"/>
        <w:spacing w:before="300" w:beforeAutospacing="0" w:after="30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6CA8"/>
    <w:rsid w:val="7EFE6C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yperlink"/>
    <w:basedOn w:val="5"/>
    <w:uiPriority w:val="0"/>
    <w:rPr>
      <w:color w:val="000000"/>
      <w:u w:val="none"/>
    </w:rPr>
  </w:style>
  <w:style w:type="character" w:styleId="10">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2018-03-21T14:28:00Z</dcterms:created>
  <dc:creator>水无鱼</dc:creator>
  <cp:lastModifiedBy>水无鱼</cp:lastModifiedBy>
  <dcterms:modified xsi:type="dcterms:W3CDTF">2018-03-21T14:42:25Z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