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招聘岗位、人数、专业、学历和范围及资格条件</w:t>
      </w:r>
    </w:p>
    <w:bookmarkEnd w:id="0"/>
    <w:tbl>
      <w:tblPr>
        <w:tblW w:w="7559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481"/>
        <w:gridCol w:w="253"/>
        <w:gridCol w:w="709"/>
        <w:gridCol w:w="2996"/>
        <w:gridCol w:w="446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15" w:type="dxa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岗位类别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岗位职责</w:t>
            </w:r>
          </w:p>
        </w:tc>
        <w:tc>
          <w:tcPr>
            <w:tcW w:w="2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招聘专业及学历（学位）要求</w:t>
            </w:r>
          </w:p>
        </w:tc>
        <w:tc>
          <w:tcPr>
            <w:tcW w:w="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招聘范围</w:t>
            </w:r>
          </w:p>
        </w:tc>
        <w:tc>
          <w:tcPr>
            <w:tcW w:w="2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15" w:type="dxa"/>
        </w:trPr>
        <w:tc>
          <w:tcPr>
            <w:tcW w:w="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旅游专业教师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承担旅游专业课程及教科研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旅游管理专业；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硕士研究生及以上学历，硕士及以上学位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面向全国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2.历届生(已取得学位学位或境外学历学位认证书)，年龄35周岁以下。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5"/>
          <w:szCs w:val="15"/>
          <w:bdr w:val="none" w:color="auto" w:sz="0" w:space="0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1、年龄的计算截止时间为公告发布之日；2018年全日制普通高校应届毕业生报名时须提供学生证、学校推荐表或就业协议，并须于2018年8月30日前取得相应学历学位；2、应聘人员属于2017年9月1日至2018年8月30日毕业的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5"/>
          <w:szCs w:val="15"/>
          <w:bdr w:val="none" w:color="auto" w:sz="0" w:space="0"/>
        </w:rPr>
        <w:t>国境外留学回国境人员的，报考时也可凭国境外院校学籍证明报名，但须于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2018年8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5"/>
          <w:szCs w:val="15"/>
          <w:bdr w:val="none" w:color="auto" w:sz="0" w:space="0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30日前取得国家教育部认定的学历（学位）证书，专业相近的以所学课程为准。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1"/>
    <w:rsid w:val="00572F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2018-06-04T04:27:00Z</dcterms:created>
  <dc:creator>ASUS</dc:creator>
  <cp:lastModifiedBy>ASUS</cp:lastModifiedBy>
  <dcterms:modified xsi:type="dcterms:W3CDTF">2018-06-04T04:27:17Z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