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1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186"/>
        <w:gridCol w:w="767"/>
        <w:gridCol w:w="1146"/>
        <w:gridCol w:w="2966"/>
        <w:gridCol w:w="1625"/>
        <w:gridCol w:w="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8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常德技师学院公开招聘岗位条件及数量表（天津考点）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5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caps w:val="0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黑体" w:hAnsi="宋体" w:eastAsia="黑体" w:cs="黑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caps w:val="0"/>
                <w:spacing w:val="0"/>
                <w:sz w:val="21"/>
                <w:szCs w:val="21"/>
                <w:bdr w:val="none" w:color="auto" w:sz="0" w:space="0"/>
              </w:rPr>
              <w:t>  号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eastAsia" w:ascii="黑体" w:hAnsi="宋体" w:eastAsia="黑体" w:cs="黑体"/>
                <w:caps w:val="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caps w:val="0"/>
                <w:spacing w:val="0"/>
                <w:sz w:val="21"/>
                <w:szCs w:val="21"/>
                <w:bdr w:val="none" w:color="auto" w:sz="0" w:space="0"/>
              </w:rPr>
              <w:t>  计划</w:t>
            </w:r>
          </w:p>
        </w:tc>
        <w:tc>
          <w:tcPr>
            <w:tcW w:w="114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21"/>
                <w:szCs w:val="21"/>
                <w:bdr w:val="none" w:color="auto" w:sz="0" w:space="0"/>
              </w:rPr>
              <w:t>最低学历</w:t>
            </w:r>
          </w:p>
        </w:tc>
        <w:tc>
          <w:tcPr>
            <w:tcW w:w="296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6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专业教师1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机械设计制造及其自动化、材料成型及控制工程、机械工艺技术、机电技术教育 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须为2017年、2018年毕业生；具有相应专业国家职业资格四级及以上等级证书。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5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专业教师2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动画、数字媒体艺术、教育技术学</w:t>
            </w: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专业教师3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电子商务、电子商务及法律</w:t>
            </w: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5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专业教师4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汽车维修工程教育、车辆工程、汽车服务工程</w:t>
            </w: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专业教师5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电子信息工程、电子科学与技术、应用电子技术教育</w:t>
            </w: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5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专业教师6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电气工程及其自动化、自动化</w:t>
            </w: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5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7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8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注：1.专业名称主要参考《2018年湖南省考试录用公务员专业指导目录》；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2.2018年毕业生须在2018年7月31日前提供毕业证，否则，取消聘用；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3.聘用后两年内须取得相应教师资格证，否则，取消聘用资格。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267A7"/>
    <w:rsid w:val="48226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2018-06-15T02:09:00Z</dcterms:created>
  <dc:creator>天空</dc:creator>
  <cp:lastModifiedBy>天空</cp:lastModifiedBy>
  <dcterms:modified xsi:type="dcterms:W3CDTF">2018-06-15T02:09:55Z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