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60" w:lineRule="auto"/>
      </w:pPr>
      <w:r>
        <w:rPr>
          <w:rFonts w:hint="eastAsia" w:ascii="宋体" w:hAnsi="宋体" w:eastAsia="宋体" w:cs="宋体"/>
          <w:sz w:val="18"/>
          <w:szCs w:val="18"/>
          <w:bdr w:val="none" w:color="auto" w:sz="0" w:space="0"/>
        </w:rPr>
        <w:t>二、招聘岗位</w:t>
      </w:r>
    </w:p>
    <w:tbl>
      <w:tblPr>
        <w:tblW w:w="7632" w:type="dxa"/>
        <w:tblCellSpacing w:w="0" w:type="dxa"/>
        <w:tblInd w:w="-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708"/>
        <w:gridCol w:w="648"/>
        <w:gridCol w:w="1224"/>
        <w:gridCol w:w="1284"/>
        <w:gridCol w:w="1512"/>
        <w:gridCol w:w="17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bdr w:val="none" w:color="auto" w:sz="0" w:space="0"/>
              </w:rPr>
              <w:t>序号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bdr w:val="none" w:color="auto" w:sz="0" w:space="0"/>
              </w:rPr>
              <w:t>岗位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bdr w:val="none" w:color="auto" w:sz="0" w:space="0"/>
              </w:rPr>
              <w:t>人数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bdr w:val="none" w:color="auto" w:sz="0" w:space="0"/>
              </w:rPr>
              <w:t>学历</w:t>
            </w:r>
          </w:p>
        </w:tc>
        <w:tc>
          <w:tcPr>
            <w:tcW w:w="12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bdr w:val="none" w:color="auto" w:sz="0" w:space="0"/>
              </w:rPr>
              <w:t>专业</w:t>
            </w: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Style w:val="4"/>
                <w:bdr w:val="none" w:color="auto" w:sz="0" w:space="0"/>
              </w:rPr>
              <w:t>年龄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其它条件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辅导员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二本及以上（不含独立学院和民办院校）</w:t>
            </w:r>
          </w:p>
        </w:tc>
        <w:tc>
          <w:tcPr>
            <w:tcW w:w="12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思想政治教育、哲学、政治学、法学、心理学、管理学、教育学、社会学、社会工作、医学类</w:t>
            </w: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研究生35岁及以下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本科30岁及以下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组织员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二本及以上（不含独立学院和民办院校）</w:t>
            </w:r>
          </w:p>
        </w:tc>
        <w:tc>
          <w:tcPr>
            <w:tcW w:w="12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思想政治教育、哲学、政治学、法学、心理学、管理学、教育学、社会学、社会工作、医学类</w:t>
            </w: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研究生35岁及以下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本科30岁及以下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中医药系实验员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二本及以上（不含独立学院和民办院校）</w:t>
            </w:r>
          </w:p>
        </w:tc>
        <w:tc>
          <w:tcPr>
            <w:tcW w:w="12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针灸推拿学</w:t>
            </w: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研究生35岁及以下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本科30岁及以下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4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临床医学系实验员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二本及以上（不含独立学院和民办院校）</w:t>
            </w:r>
          </w:p>
        </w:tc>
        <w:tc>
          <w:tcPr>
            <w:tcW w:w="12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临床医学</w:t>
            </w: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研究生35岁及以下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本科30岁及以下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5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护理系实验员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二本及以上（不含独立学院和民办院校）</w:t>
            </w:r>
          </w:p>
        </w:tc>
        <w:tc>
          <w:tcPr>
            <w:tcW w:w="12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护理学</w:t>
            </w: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研究生35岁及以下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本科30岁及以下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6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外事办工作人员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二本及以上（不含独立学院和民办院校）</w:t>
            </w:r>
          </w:p>
        </w:tc>
        <w:tc>
          <w:tcPr>
            <w:tcW w:w="12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英语类</w:t>
            </w: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研究生35岁及以下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本科30岁及以下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1.具有良好的英语听说读写、翻译能力；2.具有较强的学习能力、沟通能力、组织协调能力，具有良好的团队合作精神。3.有对外合作项目、对外交流及相关外事工作经验，持有英语翻译证书者优先。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7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党政办工作人员</w:t>
            </w:r>
          </w:p>
        </w:tc>
        <w:tc>
          <w:tcPr>
            <w:tcW w:w="64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122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二本及以上（不含独立学院和民办院校）</w:t>
            </w:r>
          </w:p>
        </w:tc>
        <w:tc>
          <w:tcPr>
            <w:tcW w:w="1284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思想政治教育、哲学、政治学、法学、心理学、管理学、教育学、社会学、社会工作、档案学、汉语言文学</w:t>
            </w:r>
          </w:p>
        </w:tc>
        <w:tc>
          <w:tcPr>
            <w:tcW w:w="1512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研究生35岁及以下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本科30岁及以下</w:t>
            </w:r>
          </w:p>
        </w:tc>
        <w:tc>
          <w:tcPr>
            <w:tcW w:w="171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A01C9"/>
    <w:rsid w:val="6D535020"/>
    <w:rsid w:val="7DAA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2018-07-09T09:11:00Z</dcterms:created>
  <dc:creator>武大娟</dc:creator>
  <cp:lastModifiedBy>武大娟</cp:lastModifiedBy>
  <dcterms:modified xsi:type="dcterms:W3CDTF">2018-07-09T09:12:51Z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