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60" w:lineRule="auto"/>
        <w:ind w:left="720" w:righ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" w:hAnsi="仿宋" w:eastAsia="仿宋" w:cs="仿宋"/>
          <w:sz w:val="32"/>
          <w:szCs w:val="32"/>
          <w:shd w:val="clear" w:fill="FFFFFF"/>
        </w:rPr>
        <w:t>招聘岗位信息一览表</w:t>
      </w:r>
    </w:p>
    <w:tbl>
      <w:tblPr>
        <w:tblW w:w="8649" w:type="dxa"/>
        <w:tblInd w:w="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187"/>
        <w:gridCol w:w="689"/>
        <w:gridCol w:w="2304"/>
        <w:gridCol w:w="1915"/>
        <w:gridCol w:w="934"/>
        <w:gridCol w:w="10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招聘人数</w:t>
            </w:r>
          </w:p>
        </w:tc>
        <w:tc>
          <w:tcPr>
            <w:tcW w:w="2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其他要求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水利系教师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水文学及水资源、水力学及河流动力学、水工结构工程、水利水电工程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水利系教师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环境科学、环境工程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电力系教师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铁道运输类、城市轨道运输类、交通运输综合管理类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信息系教师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国民经济学、区域经济学、财政学、金融学、产业经济学、国际贸易学、会计学、企业管理、技术经济及管理、金融、应用统计、税务、国际商务、保险、资产评估、审计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建筑系教师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市政工程、防灾减灾工程及防护工程、桥梁与隧道工程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建筑系教师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建筑设计及其理论、岩土工程、结构工程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机电系实训指导教师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电气自动化类（工业机器人方向）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马院教师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马克思主义理论类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中共党员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661E2"/>
    <w:rsid w:val="1CF66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2018-10-29T02:42:00Z</dcterms:created>
  <dc:creator>ASUS</dc:creator>
  <cp:lastModifiedBy>ASUS</cp:lastModifiedBy>
  <dcterms:modified xsi:type="dcterms:W3CDTF">2018-10-29T02:42:57Z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