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151" w:firstLineChars="50"/>
        <w:jc w:val="left"/>
        <w:rPr>
          <w:rFonts w:hint="eastAsia" w:ascii="宋体" w:hAnsi="宋体" w:eastAsia="宋体" w:cs="宋体"/>
          <w:b w:val="0"/>
          <w:sz w:val="30"/>
          <w:szCs w:val="30"/>
          <w:u w:val="none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0"/>
          <w:szCs w:val="30"/>
          <w:u w:val="none"/>
          <w:lang w:val="en-US" w:eastAsia="zh-CN" w:bidi="ar"/>
        </w:rPr>
        <w:t>2019年</w:t>
      </w:r>
      <w:bookmarkEnd w:id="0"/>
      <w:r>
        <w:rPr>
          <w:rFonts w:hint="eastAsia" w:ascii="宋体" w:hAnsi="宋体" w:eastAsia="宋体" w:cs="宋体"/>
          <w:b/>
          <w:kern w:val="0"/>
          <w:sz w:val="30"/>
          <w:szCs w:val="30"/>
          <w:u w:val="none"/>
          <w:lang w:val="en-US" w:eastAsia="zh-CN" w:bidi="ar"/>
        </w:rPr>
        <w:t>宿州学院专职实验员招聘计划</w:t>
      </w:r>
    </w:p>
    <w:tbl>
      <w:tblPr>
        <w:tblW w:w="6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158"/>
        <w:gridCol w:w="710"/>
        <w:gridCol w:w="1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二级学院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学科、专业要求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环境与测绘工程学院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环境科学、环境工程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数学与统计学院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统计学、金融学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计算机科学与技术、网络工程、物联网工程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化学化工学院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应用化学、化学工程与工艺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文学与传媒学院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新闻学、文化产业管理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资源与土木工程学院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管理学院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u w:val="none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u w:val="none"/>
                <w:bdr w:val="none" w:color="auto" w:sz="0" w:space="0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54EE0"/>
    <w:rsid w:val="7B154E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2018-11-08T06:44:00Z</dcterms:created>
  <dc:creator>ASUS</dc:creator>
  <cp:lastModifiedBy>ASUS</cp:lastModifiedBy>
  <dcterms:modified xsi:type="dcterms:W3CDTF">2018-11-08T06:44:43Z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