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</w:pPr>
      <w:bookmarkStart w:id="0" w:name="_GoBack"/>
      <w:r>
        <w:rPr>
          <w:rFonts w:ascii="仿宋" w:hAnsi="仿宋" w:eastAsia="仿宋" w:cs="仿宋"/>
          <w:color w:val="333333"/>
          <w:sz w:val="32"/>
          <w:szCs w:val="32"/>
          <w:bdr w:val="none" w:color="auto" w:sz="0" w:space="0"/>
        </w:rPr>
        <w:t>宁夏师范学院引进人才待遇一览表</w:t>
      </w:r>
    </w:p>
    <w:bookmarkEnd w:id="0"/>
    <w:p/>
    <w:tbl>
      <w:tblPr>
        <w:tblW w:w="8745" w:type="dxa"/>
        <w:jc w:val="center"/>
        <w:tblInd w:w="-20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8"/>
        <w:gridCol w:w="707"/>
        <w:gridCol w:w="978"/>
        <w:gridCol w:w="993"/>
        <w:gridCol w:w="978"/>
        <w:gridCol w:w="1731"/>
        <w:gridCol w:w="25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05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jc w:val="left"/>
            </w:pPr>
            <w:r>
              <w:rPr>
                <w:rFonts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层次</w:t>
            </w:r>
            <w:r>
              <w:rPr>
                <w:rFonts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68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经费待遇（人民币，万元，税前）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其它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0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科研启动费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年薪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3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安家费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0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自然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人文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一、杰出人才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9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安排配偶工作。配备科研助手，组建学术团队，配备实验室、办公室及相关设备，具体条件及待遇可面议。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二、领军人才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安排配偶工作。配备科研助手，组建学术团队，配备实验室、办公室及相关设备。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三、拔尖人才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安排配偶工作。配备科研助手，组建学术团队，配备实验室、办公室及相关设备。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四、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青年优秀人才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一类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享受国家和校内规定的工资、福利等待遇。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70万元住房补贴；或30万元住房补贴+一套120㎡左右住房。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引进人才的配偶，学校根据自治区政策和本人实际，符合调动的可随调，符合公开招聘条件的参加公开招聘，以上都不符合的，校内安排工作，纳入编制外管理。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二类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60万元住房补贴；或20万元住房补贴+一套120㎡左右住房。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三类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50万元住房补贴；或10万元住房补贴+一套120㎡左右住房。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五、其他领域急需人才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4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享受国家和校内规定的工资、福利等待遇。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70A66"/>
    <w:rsid w:val="3B77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2018-11-15T10:37:00Z</dcterms:created>
  <dc:creator>swy＆Feeling U</dc:creator>
  <cp:lastModifiedBy>swy＆Feeling U</cp:lastModifiedBy>
  <dcterms:modified xsi:type="dcterms:W3CDTF">2018-11-15T10:37:58Z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