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263"/>
        <w:rPr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6"/>
          <w:szCs w:val="26"/>
          <w:bdr w:val="none" w:color="auto" w:sz="0" w:space="0"/>
          <w:shd w:val="clear" w:fill="FFFFFF"/>
        </w:rPr>
        <w:t>招聘人数及岗位情况：</w:t>
      </w:r>
    </w:p>
    <w:tbl>
      <w:tblPr>
        <w:tblW w:w="7776" w:type="dxa"/>
        <w:jc w:val="center"/>
        <w:tblInd w:w="2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089"/>
        <w:gridCol w:w="1152"/>
        <w:gridCol w:w="939"/>
        <w:gridCol w:w="1778"/>
        <w:gridCol w:w="977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48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238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其他条件要求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6"/>
                <w:szCs w:val="2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0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年龄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13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专业条件要求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25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sz w:val="23"/>
                <w:szCs w:val="23"/>
                <w:bdr w:val="none" w:color="auto" w:sz="0" w:space="0"/>
              </w:rPr>
              <w:t>其他</w:t>
            </w: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1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财务会计工作人员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lang w:val="en-US"/>
              </w:rPr>
              <w:t>1982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日及以后出生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本科及以上学历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textAlignment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会计专业、财务管理专业等会计类专业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01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有实际工作经验的优先</w:t>
            </w:r>
            <w:r>
              <w:rPr>
                <w:rFonts w:ascii="宋体" w:hAnsi="宋体" w:eastAsia="宋体" w:cs="宋体"/>
                <w:sz w:val="20"/>
                <w:szCs w:val="20"/>
              </w:rPr>
              <w:br w:type="textWrapping"/>
            </w:r>
          </w:p>
        </w:tc>
        <w:tc>
          <w:tcPr>
            <w:tcW w:w="639" w:type="dxa"/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194F"/>
    <w:rsid w:val="43C61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2018-12-12T02:45:00Z</dcterms:created>
  <dc:creator>ASUS</dc:creator>
  <cp:lastModifiedBy>ASUS</cp:lastModifiedBy>
  <dcterms:modified xsi:type="dcterms:W3CDTF">2018-12-12T02:55:49Z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