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firstLine="402" w:firstLineChars="200"/>
        <w:jc w:val="left"/>
        <w:rPr>
          <w:rFonts w:ascii="瀹嬩綋" w:hAnsi="瀹嬩綋" w:eastAsia="瀹嬩綋" w:cs="瀹嬩綋"/>
          <w:sz w:val="20"/>
          <w:szCs w:val="20"/>
        </w:rPr>
      </w:pPr>
      <w:r>
        <w:rPr>
          <w:rStyle w:val="4"/>
          <w:rFonts w:ascii="黑体" w:hAnsi="宋体" w:eastAsia="宋体" w:cs="黑体"/>
          <w:bCs/>
          <w:color w:val="333333"/>
          <w:sz w:val="20"/>
          <w:szCs w:val="20"/>
        </w:rPr>
        <w:t>招聘对象及待遇</w:t>
      </w:r>
      <w:r>
        <w:rPr>
          <w:rStyle w:val="4"/>
          <w:rFonts w:hint="eastAsia" w:ascii="宋体" w:hAnsi="宋体" w:eastAsia="宋体" w:cs="宋体"/>
          <w:bCs/>
          <w:color w:val="333333"/>
          <w:sz w:val="23"/>
          <w:szCs w:val="23"/>
          <w:lang w:val="en-US"/>
        </w:rPr>
        <w:br w:type="textWrapping"/>
      </w:r>
      <w:r>
        <w:rPr>
          <w:rFonts w:hint="eastAsia" w:ascii="宋体" w:hAnsi="宋体" w:eastAsia="宋体" w:cs="宋体"/>
          <w:bCs/>
          <w:color w:val="333333"/>
          <w:sz w:val="20"/>
          <w:szCs w:val="20"/>
          <w:lang w:val="en-US"/>
        </w:rPr>
        <w:t>   </w:t>
      </w:r>
      <w:r>
        <w:rPr>
          <w:rStyle w:val="4"/>
          <w:rFonts w:hint="eastAsia" w:ascii="宋体" w:hAnsi="宋体" w:eastAsia="宋体" w:cs="宋体"/>
          <w:bCs/>
          <w:color w:val="333333"/>
          <w:sz w:val="20"/>
          <w:szCs w:val="20"/>
          <w:lang w:val="en-US"/>
        </w:rPr>
        <w:t> 1.</w:t>
      </w:r>
      <w:r>
        <w:rPr>
          <w:rStyle w:val="4"/>
          <w:rFonts w:hint="eastAsia" w:ascii="宋体" w:hAnsi="宋体" w:eastAsia="宋体" w:cs="宋体"/>
          <w:bCs/>
          <w:color w:val="333333"/>
          <w:sz w:val="20"/>
          <w:szCs w:val="20"/>
        </w:rPr>
        <w:t>招聘对象及待遇如下表所示</w:t>
      </w:r>
    </w:p>
    <w:tbl>
      <w:tblPr>
        <w:tblW w:w="12555" w:type="dxa"/>
        <w:jc w:val="center"/>
        <w:tblInd w:w="702" w:type="dxa"/>
        <w:shd w:val="clear"/>
        <w:tblLayout w:type="fixed"/>
        <w:tblCellMar>
          <w:top w:w="0" w:type="dxa"/>
          <w:left w:w="0" w:type="dxa"/>
          <w:bottom w:w="0" w:type="dxa"/>
          <w:right w:w="0" w:type="dxa"/>
        </w:tblCellMar>
      </w:tblPr>
      <w:tblGrid>
        <w:gridCol w:w="638"/>
        <w:gridCol w:w="813"/>
        <w:gridCol w:w="987"/>
        <w:gridCol w:w="800"/>
        <w:gridCol w:w="738"/>
        <w:gridCol w:w="1338"/>
        <w:gridCol w:w="1563"/>
        <w:gridCol w:w="1213"/>
        <w:gridCol w:w="1513"/>
        <w:gridCol w:w="1363"/>
        <w:gridCol w:w="1589"/>
      </w:tblGrid>
      <w:tr>
        <w:tblPrEx>
          <w:shd w:val="clear"/>
          <w:tblLayout w:type="fixed"/>
          <w:tblCellMar>
            <w:top w:w="0" w:type="dxa"/>
            <w:left w:w="0" w:type="dxa"/>
            <w:bottom w:w="0" w:type="dxa"/>
            <w:right w:w="0" w:type="dxa"/>
          </w:tblCellMar>
        </w:tblPrEx>
        <w:trPr>
          <w:trHeight w:val="464" w:hRule="atLeast"/>
          <w:jc w:val="center"/>
        </w:trPr>
        <w:tc>
          <w:tcPr>
            <w:tcW w:w="243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ascii="微软雅黑" w:hAnsi="微软雅黑" w:eastAsia="微软雅黑" w:cs="微软雅黑"/>
                <w:color w:val="333333"/>
                <w:sz w:val="16"/>
                <w:szCs w:val="16"/>
              </w:rPr>
            </w:pPr>
            <w:r>
              <w:rPr>
                <w:rStyle w:val="4"/>
                <w:rFonts w:hint="eastAsia" w:ascii="微软雅黑" w:hAnsi="微软雅黑" w:eastAsia="微软雅黑" w:cs="微软雅黑"/>
                <w:color w:val="333333"/>
                <w:kern w:val="0"/>
                <w:sz w:val="15"/>
                <w:szCs w:val="15"/>
                <w:lang w:val="en-US" w:eastAsia="zh-CN" w:bidi="ar"/>
              </w:rPr>
              <w:t>人才类别</w:t>
            </w:r>
          </w:p>
        </w:tc>
        <w:tc>
          <w:tcPr>
            <w:tcW w:w="153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Style w:val="4"/>
                <w:rFonts w:hint="eastAsia" w:ascii="微软雅黑" w:hAnsi="微软雅黑" w:eastAsia="微软雅黑" w:cs="微软雅黑"/>
                <w:color w:val="333333"/>
                <w:kern w:val="0"/>
                <w:sz w:val="15"/>
                <w:szCs w:val="15"/>
                <w:lang w:val="en-US" w:eastAsia="zh-CN" w:bidi="ar"/>
              </w:rPr>
              <w:t>购房与安家补贴</w:t>
            </w:r>
          </w:p>
        </w:tc>
        <w:tc>
          <w:tcPr>
            <w:tcW w:w="1338"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40" w:lineRule="auto"/>
              <w:ind w:left="0" w:firstLine="0"/>
              <w:jc w:val="center"/>
              <w:rPr>
                <w:rFonts w:hint="default" w:ascii="瀹嬩綋" w:hAnsi="瀹嬩綋" w:eastAsia="瀹嬩綋" w:cs="瀹嬩綋"/>
                <w:sz w:val="20"/>
                <w:szCs w:val="20"/>
              </w:rPr>
            </w:pPr>
            <w:r>
              <w:rPr>
                <w:rStyle w:val="4"/>
                <w:rFonts w:hint="default" w:ascii="瀹嬩綋" w:hAnsi="瀹嬩綋" w:eastAsia="瀹嬩綋" w:cs="瀹嬩綋"/>
                <w:color w:val="333333"/>
                <w:sz w:val="15"/>
                <w:szCs w:val="15"/>
              </w:rPr>
              <w:t>租房补贴或</w:t>
            </w:r>
          </w:p>
          <w:p>
            <w:pPr>
              <w:pStyle w:val="2"/>
              <w:keepNext w:val="0"/>
              <w:keepLines w:val="0"/>
              <w:widowControl/>
              <w:suppressLineNumbers w:val="0"/>
              <w:spacing w:before="0" w:beforeAutospacing="0" w:after="0" w:afterAutospacing="0" w:line="240" w:lineRule="auto"/>
              <w:ind w:left="0" w:firstLine="0"/>
              <w:jc w:val="center"/>
              <w:rPr>
                <w:rFonts w:hint="default" w:ascii="瀹嬩綋" w:hAnsi="瀹嬩綋" w:eastAsia="瀹嬩綋" w:cs="瀹嬩綋"/>
                <w:sz w:val="20"/>
                <w:szCs w:val="20"/>
              </w:rPr>
            </w:pPr>
            <w:r>
              <w:rPr>
                <w:rStyle w:val="4"/>
                <w:rFonts w:hint="default" w:ascii="瀹嬩綋" w:hAnsi="瀹嬩綋" w:eastAsia="瀹嬩綋" w:cs="瀹嬩綋"/>
                <w:color w:val="333333"/>
                <w:sz w:val="15"/>
                <w:szCs w:val="15"/>
              </w:rPr>
              <w:t>过渡住房</w:t>
            </w:r>
          </w:p>
        </w:tc>
        <w:tc>
          <w:tcPr>
            <w:tcW w:w="1563"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Style w:val="4"/>
                <w:rFonts w:hint="eastAsia" w:ascii="微软雅黑" w:hAnsi="微软雅黑" w:eastAsia="微软雅黑" w:cs="微软雅黑"/>
                <w:color w:val="333333"/>
                <w:kern w:val="0"/>
                <w:sz w:val="15"/>
                <w:szCs w:val="15"/>
                <w:lang w:val="en-US" w:eastAsia="zh-CN" w:bidi="ar"/>
              </w:rPr>
              <w:t>科研启动经费</w:t>
            </w:r>
          </w:p>
        </w:tc>
        <w:tc>
          <w:tcPr>
            <w:tcW w:w="4089"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Style w:val="4"/>
                <w:rFonts w:hint="eastAsia" w:ascii="微软雅黑" w:hAnsi="微软雅黑" w:eastAsia="微软雅黑" w:cs="微软雅黑"/>
                <w:color w:val="333333"/>
                <w:kern w:val="0"/>
                <w:sz w:val="15"/>
                <w:szCs w:val="15"/>
                <w:lang w:val="en-US" w:eastAsia="zh-CN" w:bidi="ar"/>
              </w:rPr>
              <w:t>薪酬待遇等</w:t>
            </w:r>
          </w:p>
        </w:tc>
        <w:tc>
          <w:tcPr>
            <w:tcW w:w="158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Style w:val="4"/>
                <w:rFonts w:hint="eastAsia" w:ascii="微软雅黑" w:hAnsi="微软雅黑" w:eastAsia="微软雅黑" w:cs="微软雅黑"/>
                <w:color w:val="333333"/>
                <w:kern w:val="0"/>
                <w:sz w:val="15"/>
                <w:szCs w:val="15"/>
                <w:lang w:val="en-US" w:eastAsia="zh-CN" w:bidi="ar"/>
              </w:rPr>
              <w:t>配偶安置</w:t>
            </w:r>
          </w:p>
        </w:tc>
      </w:tr>
      <w:tr>
        <w:tblPrEx>
          <w:shd w:val="clear"/>
          <w:tblLayout w:type="fixed"/>
          <w:tblCellMar>
            <w:top w:w="0" w:type="dxa"/>
            <w:left w:w="0" w:type="dxa"/>
            <w:bottom w:w="0" w:type="dxa"/>
            <w:right w:w="0" w:type="dxa"/>
          </w:tblCellMar>
        </w:tblPrEx>
        <w:trPr>
          <w:trHeight w:val="513" w:hRule="atLeast"/>
          <w:jc w:val="center"/>
        </w:trPr>
        <w:tc>
          <w:tcPr>
            <w:tcW w:w="638"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after="88" w:afterAutospacing="0" w:line="25" w:lineRule="atLeast"/>
              <w:ind w:left="0" w:firstLine="0"/>
              <w:jc w:val="center"/>
              <w:rPr>
                <w:rFonts w:hint="default" w:ascii="瀹嬩綋" w:hAnsi="瀹嬩綋" w:eastAsia="瀹嬩綋" w:cs="瀹嬩綋"/>
                <w:sz w:val="20"/>
                <w:szCs w:val="20"/>
              </w:rPr>
            </w:pPr>
            <w:r>
              <w:rPr>
                <w:rStyle w:val="4"/>
                <w:rFonts w:hint="default" w:ascii="瀹嬩綋" w:hAnsi="瀹嬩綋" w:eastAsia="瀹嬩綋" w:cs="瀹嬩綋"/>
                <w:color w:val="333333"/>
                <w:sz w:val="15"/>
                <w:szCs w:val="15"/>
              </w:rPr>
              <w:t>学科</w:t>
            </w:r>
          </w:p>
          <w:p>
            <w:pPr>
              <w:pStyle w:val="2"/>
              <w:keepNext w:val="0"/>
              <w:keepLines w:val="0"/>
              <w:widowControl/>
              <w:suppressLineNumbers w:val="0"/>
              <w:spacing w:after="88" w:afterAutospacing="0" w:line="25" w:lineRule="atLeast"/>
              <w:ind w:left="0" w:firstLine="0"/>
              <w:jc w:val="center"/>
              <w:rPr>
                <w:rFonts w:hint="default" w:ascii="瀹嬩綋" w:hAnsi="瀹嬩綋" w:eastAsia="瀹嬩綋" w:cs="瀹嬩綋"/>
                <w:sz w:val="20"/>
                <w:szCs w:val="20"/>
              </w:rPr>
            </w:pPr>
            <w:r>
              <w:rPr>
                <w:rStyle w:val="4"/>
                <w:rFonts w:hint="default" w:ascii="瀹嬩綋" w:hAnsi="瀹嬩綋" w:eastAsia="瀹嬩綋" w:cs="瀹嬩綋"/>
                <w:color w:val="333333"/>
                <w:sz w:val="15"/>
                <w:szCs w:val="15"/>
              </w:rPr>
              <w:t>带头人</w:t>
            </w:r>
          </w:p>
        </w:tc>
        <w:tc>
          <w:tcPr>
            <w:tcW w:w="18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一类人才</w:t>
            </w:r>
          </w:p>
        </w:tc>
        <w:tc>
          <w:tcPr>
            <w:tcW w:w="153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面议</w:t>
            </w:r>
          </w:p>
        </w:tc>
        <w:tc>
          <w:tcPr>
            <w:tcW w:w="1338"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面议</w:t>
            </w:r>
          </w:p>
        </w:tc>
        <w:tc>
          <w:tcPr>
            <w:tcW w:w="1563"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面议</w:t>
            </w:r>
          </w:p>
        </w:tc>
        <w:tc>
          <w:tcPr>
            <w:tcW w:w="4089"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面议</w:t>
            </w:r>
          </w:p>
        </w:tc>
        <w:tc>
          <w:tcPr>
            <w:tcW w:w="1589"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安置配偶工作</w:t>
            </w:r>
          </w:p>
        </w:tc>
      </w:tr>
      <w:tr>
        <w:tblPrEx>
          <w:tblLayout w:type="fixed"/>
          <w:tblCellMar>
            <w:top w:w="0" w:type="dxa"/>
            <w:left w:w="0" w:type="dxa"/>
            <w:bottom w:w="0" w:type="dxa"/>
            <w:right w:w="0" w:type="dxa"/>
          </w:tblCellMar>
        </w:tblPrEx>
        <w:trPr>
          <w:trHeight w:val="677" w:hRule="atLeast"/>
          <w:jc w:val="center"/>
        </w:trPr>
        <w:tc>
          <w:tcPr>
            <w:tcW w:w="6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18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二类人才</w:t>
            </w:r>
          </w:p>
        </w:tc>
        <w:tc>
          <w:tcPr>
            <w:tcW w:w="153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150万元（其中安家费30万元）</w:t>
            </w:r>
          </w:p>
        </w:tc>
        <w:tc>
          <w:tcPr>
            <w:tcW w:w="1338"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3.6万元/年（3年）、180㎡左右住房一套</w:t>
            </w:r>
          </w:p>
        </w:tc>
        <w:tc>
          <w:tcPr>
            <w:tcW w:w="1563"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理工：300-500万元</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社科：150-300万元</w:t>
            </w:r>
          </w:p>
        </w:tc>
        <w:tc>
          <w:tcPr>
            <w:tcW w:w="4089"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年薪100万元</w:t>
            </w:r>
          </w:p>
        </w:tc>
        <w:tc>
          <w:tcPr>
            <w:tcW w:w="1589"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r>
      <w:tr>
        <w:tblPrEx>
          <w:shd w:val="clear"/>
          <w:tblLayout w:type="fixed"/>
          <w:tblCellMar>
            <w:top w:w="0" w:type="dxa"/>
            <w:left w:w="0" w:type="dxa"/>
            <w:bottom w:w="0" w:type="dxa"/>
            <w:right w:w="0" w:type="dxa"/>
          </w:tblCellMar>
        </w:tblPrEx>
        <w:trPr>
          <w:trHeight w:val="777" w:hRule="atLeast"/>
          <w:jc w:val="center"/>
        </w:trPr>
        <w:tc>
          <w:tcPr>
            <w:tcW w:w="6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18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三类人才</w:t>
            </w:r>
          </w:p>
        </w:tc>
        <w:tc>
          <w:tcPr>
            <w:tcW w:w="153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95万元（其中安家费15万元）</w:t>
            </w:r>
          </w:p>
        </w:tc>
        <w:tc>
          <w:tcPr>
            <w:tcW w:w="1338"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3万元/年（3年）、138㎡左右住房一套</w:t>
            </w:r>
          </w:p>
        </w:tc>
        <w:tc>
          <w:tcPr>
            <w:tcW w:w="156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40" w:lineRule="auto"/>
              <w:ind w:left="0" w:firstLine="0"/>
              <w:jc w:val="center"/>
              <w:rPr>
                <w:rFonts w:hint="default" w:ascii="瀹嬩綋" w:hAnsi="瀹嬩綋" w:eastAsia="瀹嬩綋" w:cs="瀹嬩綋"/>
                <w:sz w:val="20"/>
                <w:szCs w:val="20"/>
              </w:rPr>
            </w:pPr>
            <w:r>
              <w:rPr>
                <w:rFonts w:hint="default" w:ascii="瀹嬩綋" w:hAnsi="瀹嬩綋" w:eastAsia="瀹嬩綋" w:cs="瀹嬩綋"/>
                <w:color w:val="333333"/>
                <w:sz w:val="15"/>
                <w:szCs w:val="15"/>
              </w:rPr>
              <w:t>理工：100-200万元</w:t>
            </w:r>
          </w:p>
          <w:p>
            <w:pPr>
              <w:pStyle w:val="2"/>
              <w:keepNext w:val="0"/>
              <w:keepLines w:val="0"/>
              <w:widowControl/>
              <w:suppressLineNumbers w:val="0"/>
              <w:spacing w:before="0" w:beforeAutospacing="0" w:after="0" w:afterAutospacing="0" w:line="240" w:lineRule="auto"/>
              <w:ind w:left="0" w:firstLine="0"/>
              <w:jc w:val="center"/>
              <w:rPr>
                <w:rFonts w:hint="default" w:ascii="瀹嬩綋" w:hAnsi="瀹嬩綋" w:eastAsia="瀹嬩綋" w:cs="瀹嬩綋"/>
                <w:sz w:val="20"/>
                <w:szCs w:val="20"/>
              </w:rPr>
            </w:pPr>
            <w:r>
              <w:rPr>
                <w:rFonts w:hint="default" w:ascii="瀹嬩綋" w:hAnsi="瀹嬩綋" w:eastAsia="瀹嬩綋" w:cs="瀹嬩綋"/>
                <w:color w:val="333333"/>
                <w:sz w:val="15"/>
                <w:szCs w:val="15"/>
              </w:rPr>
              <w:t>社科：50-100万元</w:t>
            </w:r>
          </w:p>
        </w:tc>
        <w:tc>
          <w:tcPr>
            <w:tcW w:w="4089"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年薪50-70万元</w:t>
            </w:r>
          </w:p>
        </w:tc>
        <w:tc>
          <w:tcPr>
            <w:tcW w:w="1589"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r>
      <w:tr>
        <w:tblPrEx>
          <w:tblLayout w:type="fixed"/>
          <w:tblCellMar>
            <w:top w:w="0" w:type="dxa"/>
            <w:left w:w="0" w:type="dxa"/>
            <w:bottom w:w="0" w:type="dxa"/>
            <w:right w:w="0" w:type="dxa"/>
          </w:tblCellMar>
        </w:tblPrEx>
        <w:trPr>
          <w:trHeight w:val="739" w:hRule="atLeast"/>
          <w:jc w:val="center"/>
        </w:trPr>
        <w:tc>
          <w:tcPr>
            <w:tcW w:w="638"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Style w:val="4"/>
                <w:rFonts w:hint="eastAsia" w:ascii="微软雅黑" w:hAnsi="微软雅黑" w:eastAsia="微软雅黑" w:cs="微软雅黑"/>
                <w:color w:val="333333"/>
                <w:kern w:val="0"/>
                <w:sz w:val="15"/>
                <w:szCs w:val="15"/>
                <w:lang w:val="en-US" w:eastAsia="zh-CN" w:bidi="ar"/>
              </w:rPr>
              <w:t>学科学术骨干</w:t>
            </w:r>
          </w:p>
        </w:tc>
        <w:tc>
          <w:tcPr>
            <w:tcW w:w="18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四类人才</w:t>
            </w:r>
          </w:p>
        </w:tc>
        <w:tc>
          <w:tcPr>
            <w:tcW w:w="153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65-70万元（其中安家费5-10万元）</w:t>
            </w:r>
          </w:p>
        </w:tc>
        <w:tc>
          <w:tcPr>
            <w:tcW w:w="1338"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1.8万元/年（3年）或三年期过渡住房一套</w:t>
            </w:r>
          </w:p>
        </w:tc>
        <w:tc>
          <w:tcPr>
            <w:tcW w:w="156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40" w:lineRule="auto"/>
              <w:ind w:left="0" w:firstLine="0"/>
              <w:jc w:val="center"/>
              <w:rPr>
                <w:rFonts w:hint="default" w:ascii="瀹嬩綋" w:hAnsi="瀹嬩綋" w:eastAsia="瀹嬩綋" w:cs="瀹嬩綋"/>
                <w:sz w:val="20"/>
                <w:szCs w:val="20"/>
              </w:rPr>
            </w:pPr>
            <w:r>
              <w:rPr>
                <w:rFonts w:hint="default" w:ascii="瀹嬩綋" w:hAnsi="瀹嬩綋" w:eastAsia="瀹嬩綋" w:cs="瀹嬩綋"/>
                <w:color w:val="333333"/>
                <w:sz w:val="15"/>
                <w:szCs w:val="15"/>
              </w:rPr>
              <w:t>理工：10-30万元</w:t>
            </w:r>
          </w:p>
          <w:p>
            <w:pPr>
              <w:pStyle w:val="2"/>
              <w:keepNext w:val="0"/>
              <w:keepLines w:val="0"/>
              <w:widowControl/>
              <w:suppressLineNumbers w:val="0"/>
              <w:spacing w:before="0" w:beforeAutospacing="0" w:after="0" w:afterAutospacing="0" w:line="240" w:lineRule="auto"/>
              <w:ind w:left="0" w:firstLine="0"/>
              <w:jc w:val="center"/>
              <w:rPr>
                <w:rFonts w:hint="default" w:ascii="瀹嬩綋" w:hAnsi="瀹嬩綋" w:eastAsia="瀹嬩綋" w:cs="瀹嬩綋"/>
                <w:sz w:val="20"/>
                <w:szCs w:val="20"/>
              </w:rPr>
            </w:pPr>
            <w:r>
              <w:rPr>
                <w:rFonts w:hint="default" w:ascii="瀹嬩綋" w:hAnsi="瀹嬩綋" w:eastAsia="瀹嬩綋" w:cs="瀹嬩綋"/>
                <w:color w:val="333333"/>
                <w:sz w:val="15"/>
                <w:szCs w:val="15"/>
              </w:rPr>
              <w:t>社科：5-15万元</w:t>
            </w:r>
          </w:p>
        </w:tc>
        <w:tc>
          <w:tcPr>
            <w:tcW w:w="4089"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按规定享受学校同等人员相应待遇或根据目标任务一事一议（含年薪制）。</w:t>
            </w:r>
          </w:p>
        </w:tc>
        <w:tc>
          <w:tcPr>
            <w:tcW w:w="1589"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符合学校相关规定，安置配偶工作。</w:t>
            </w:r>
          </w:p>
        </w:tc>
      </w:tr>
      <w:tr>
        <w:tblPrEx>
          <w:shd w:val="clear"/>
          <w:tblLayout w:type="fixed"/>
          <w:tblCellMar>
            <w:top w:w="0" w:type="dxa"/>
            <w:left w:w="0" w:type="dxa"/>
            <w:bottom w:w="0" w:type="dxa"/>
            <w:right w:w="0" w:type="dxa"/>
          </w:tblCellMar>
        </w:tblPrEx>
        <w:trPr>
          <w:trHeight w:val="651" w:hRule="atLeast"/>
          <w:jc w:val="center"/>
        </w:trPr>
        <w:tc>
          <w:tcPr>
            <w:tcW w:w="63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Style w:val="4"/>
                <w:rFonts w:hint="eastAsia" w:ascii="微软雅黑" w:hAnsi="微软雅黑" w:eastAsia="微软雅黑" w:cs="微软雅黑"/>
                <w:color w:val="333333"/>
                <w:kern w:val="0"/>
                <w:sz w:val="15"/>
                <w:szCs w:val="15"/>
                <w:lang w:val="en-US" w:eastAsia="zh-CN" w:bidi="ar"/>
              </w:rPr>
              <w:t>专任</w:t>
            </w:r>
            <w:r>
              <w:rPr>
                <w:rStyle w:val="4"/>
                <w:rFonts w:hint="eastAsia" w:ascii="微软雅黑" w:hAnsi="微软雅黑" w:eastAsia="微软雅黑" w:cs="微软雅黑"/>
                <w:color w:val="333333"/>
                <w:kern w:val="0"/>
                <w:sz w:val="15"/>
                <w:szCs w:val="15"/>
                <w:lang w:val="en-US" w:eastAsia="zh-CN" w:bidi="ar"/>
              </w:rPr>
              <w:br w:type="textWrapping"/>
            </w:r>
            <w:r>
              <w:rPr>
                <w:rStyle w:val="4"/>
                <w:rFonts w:hint="eastAsia" w:ascii="微软雅黑" w:hAnsi="微软雅黑" w:eastAsia="微软雅黑" w:cs="微软雅黑"/>
                <w:color w:val="333333"/>
                <w:kern w:val="0"/>
                <w:sz w:val="15"/>
                <w:szCs w:val="15"/>
                <w:lang w:val="en-US" w:eastAsia="zh-CN" w:bidi="ar"/>
              </w:rPr>
              <w:t>教师</w:t>
            </w:r>
          </w:p>
        </w:tc>
        <w:tc>
          <w:tcPr>
            <w:tcW w:w="18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教授、具有博士学位的副教授</w:t>
            </w:r>
          </w:p>
        </w:tc>
        <w:tc>
          <w:tcPr>
            <w:tcW w:w="1538"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48-65万元（其中安家费8-15万元）</w:t>
            </w:r>
          </w:p>
        </w:tc>
        <w:tc>
          <w:tcPr>
            <w:tcW w:w="1338"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1.44万元/年（3年)或三年期过渡住房一套</w:t>
            </w:r>
          </w:p>
        </w:tc>
        <w:tc>
          <w:tcPr>
            <w:tcW w:w="156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240" w:lineRule="auto"/>
              <w:ind w:left="0" w:firstLine="0"/>
              <w:jc w:val="center"/>
              <w:rPr>
                <w:rFonts w:hint="default" w:ascii="瀹嬩綋" w:hAnsi="瀹嬩綋" w:eastAsia="瀹嬩綋" w:cs="瀹嬩綋"/>
                <w:sz w:val="20"/>
                <w:szCs w:val="20"/>
              </w:rPr>
            </w:pPr>
            <w:r>
              <w:rPr>
                <w:rFonts w:hint="default" w:ascii="瀹嬩綋" w:hAnsi="瀹嬩綋" w:eastAsia="瀹嬩綋" w:cs="瀹嬩綋"/>
                <w:color w:val="333333"/>
                <w:sz w:val="15"/>
                <w:szCs w:val="15"/>
              </w:rPr>
              <w:t>理工：10-12万元</w:t>
            </w:r>
          </w:p>
          <w:p>
            <w:pPr>
              <w:pStyle w:val="2"/>
              <w:keepNext w:val="0"/>
              <w:keepLines w:val="0"/>
              <w:widowControl/>
              <w:suppressLineNumbers w:val="0"/>
              <w:spacing w:before="0" w:beforeAutospacing="0" w:after="0" w:afterAutospacing="0" w:line="240" w:lineRule="auto"/>
              <w:ind w:left="0" w:firstLine="0"/>
              <w:jc w:val="center"/>
              <w:rPr>
                <w:rFonts w:hint="default" w:ascii="瀹嬩綋" w:hAnsi="瀹嬩綋" w:eastAsia="瀹嬩綋" w:cs="瀹嬩綋"/>
                <w:sz w:val="20"/>
                <w:szCs w:val="20"/>
              </w:rPr>
            </w:pPr>
            <w:r>
              <w:rPr>
                <w:rFonts w:hint="default" w:ascii="瀹嬩綋" w:hAnsi="瀹嬩綋" w:eastAsia="瀹嬩綋" w:cs="瀹嬩綋"/>
                <w:color w:val="333333"/>
                <w:sz w:val="15"/>
                <w:szCs w:val="15"/>
              </w:rPr>
              <w:t>社科：6-8万元</w:t>
            </w:r>
          </w:p>
        </w:tc>
        <w:tc>
          <w:tcPr>
            <w:tcW w:w="4089"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按规定享受学校相应待遇（包括学科骨干津贴600元/月，2年）或根据目标任务一事一议（含年薪制）。</w:t>
            </w:r>
          </w:p>
        </w:tc>
        <w:tc>
          <w:tcPr>
            <w:tcW w:w="1589"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 1.具有硕士研究生及以上学历学位，35周岁以下，经考核合格，可安置配偶工作（含人事代理）；</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 2.符合调动条件的，按规定报主管部门审批；</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 3.具有全日制本科学历，可以合约形式安置，前5年以劳务派遣方式编外聘用，若引进人才首聘期考核合格且配偶表现优异，可按规定转为人事代理方式聘用（享受在编同等人员经济待遇）。</w:t>
            </w:r>
          </w:p>
        </w:tc>
      </w:tr>
      <w:tr>
        <w:tblPrEx>
          <w:shd w:val="clear"/>
          <w:tblLayout w:type="fixed"/>
          <w:tblCellMar>
            <w:top w:w="0" w:type="dxa"/>
            <w:left w:w="0" w:type="dxa"/>
            <w:bottom w:w="0" w:type="dxa"/>
            <w:right w:w="0" w:type="dxa"/>
          </w:tblCellMar>
        </w:tblPrEx>
        <w:trPr>
          <w:trHeight w:val="301" w:hRule="atLeast"/>
          <w:jc w:val="center"/>
        </w:trPr>
        <w:tc>
          <w:tcPr>
            <w:tcW w:w="6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813"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博士研究生、大型企业或研究院成就突出的具有硕士研究生学历学位的高级管理或工程技术人员</w:t>
            </w:r>
          </w:p>
        </w:tc>
        <w:tc>
          <w:tcPr>
            <w:tcW w:w="98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一档：理工类发表一类科研论文3篇（社科类二类以上4篇）</w:t>
            </w:r>
          </w:p>
        </w:tc>
        <w:tc>
          <w:tcPr>
            <w:tcW w:w="800"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55万元</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（其中安家费12万元）</w:t>
            </w:r>
          </w:p>
        </w:tc>
        <w:tc>
          <w:tcPr>
            <w:tcW w:w="73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博士立项建设/支撑学科引进的优秀人才另增加购房补贴10万元</w:t>
            </w:r>
          </w:p>
        </w:tc>
        <w:tc>
          <w:tcPr>
            <w:tcW w:w="133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1.2万元/年（3年）或三年期过渡住房一套</w:t>
            </w:r>
          </w:p>
        </w:tc>
        <w:tc>
          <w:tcPr>
            <w:tcW w:w="1563"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理工：10万元</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社科：6万元</w:t>
            </w:r>
          </w:p>
        </w:tc>
        <w:tc>
          <w:tcPr>
            <w:tcW w:w="1213"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基础待遇</w:t>
            </w:r>
          </w:p>
        </w:tc>
        <w:tc>
          <w:tcPr>
            <w:tcW w:w="1513"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浮动待遇</w:t>
            </w:r>
          </w:p>
        </w:tc>
        <w:tc>
          <w:tcPr>
            <w:tcW w:w="1363"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目标待遇</w:t>
            </w:r>
          </w:p>
        </w:tc>
        <w:tc>
          <w:tcPr>
            <w:tcW w:w="1589"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微软雅黑" w:hAnsi="微软雅黑" w:eastAsia="微软雅黑" w:cs="微软雅黑"/>
                <w:color w:val="333333"/>
                <w:sz w:val="16"/>
                <w:szCs w:val="16"/>
              </w:rPr>
            </w:pPr>
          </w:p>
        </w:tc>
      </w:tr>
      <w:tr>
        <w:tblPrEx>
          <w:shd w:val="clear"/>
          <w:tblLayout w:type="fixed"/>
          <w:tblCellMar>
            <w:top w:w="0" w:type="dxa"/>
            <w:left w:w="0" w:type="dxa"/>
            <w:bottom w:w="0" w:type="dxa"/>
            <w:right w:w="0" w:type="dxa"/>
          </w:tblCellMar>
        </w:tblPrEx>
        <w:trPr>
          <w:trHeight w:val="1427" w:hRule="atLeast"/>
          <w:jc w:val="center"/>
        </w:trPr>
        <w:tc>
          <w:tcPr>
            <w:tcW w:w="6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813" w:type="dxa"/>
            <w:vMerge w:val="continue"/>
            <w:tcBorders>
              <w:top w:val="nil"/>
              <w:left w:val="nil"/>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987" w:type="dxa"/>
            <w:vMerge w:val="continue"/>
            <w:tcBorders>
              <w:top w:val="nil"/>
              <w:left w:val="nil"/>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800"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7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13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1563"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1213"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163" w:afterAutospacing="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lang w:val="en-US" w:eastAsia="zh-CN" w:bidi="ar"/>
              </w:rPr>
              <w:br w:type="textWrapping"/>
            </w:r>
            <w:r>
              <w:rPr>
                <w:rFonts w:hint="eastAsia" w:ascii="微软雅黑" w:hAnsi="微软雅黑" w:eastAsia="微软雅黑" w:cs="微软雅黑"/>
                <w:color w:val="333333"/>
                <w:kern w:val="0"/>
                <w:sz w:val="15"/>
                <w:szCs w:val="15"/>
                <w:lang w:val="en-US" w:eastAsia="zh-CN" w:bidi="ar"/>
              </w:rPr>
              <w:t> 1.享受副教授工资待遇3年，3年后按实际职称享受相应待遇；</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 2.享受学校相应教学科研奖励；</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 3.按规定享受芜湖市人才补贴1.2万/年（3年）</w:t>
            </w:r>
          </w:p>
        </w:tc>
        <w:tc>
          <w:tcPr>
            <w:tcW w:w="1513"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 1.近4年，在影响因子一区的期刊上发表论文1篇及以上的，增加购房补贴2万元（若为高被引论文，增加5万元）。</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 2.业绩超过一档条件的，理工类每增加1篇一类论文（社科类二类及以上，不含会议论文）增加购房补贴2万元；</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 3.具有1年及以上国外学习或工作经历的增加购房补贴10万元。</w:t>
            </w:r>
          </w:p>
        </w:tc>
        <w:tc>
          <w:tcPr>
            <w:tcW w:w="1363"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6"/>
                <w:szCs w:val="16"/>
                <w:lang w:val="en-US" w:eastAsia="zh-CN" w:bidi="ar"/>
              </w:rPr>
              <w:br w:type="textWrapping"/>
            </w:r>
            <w:r>
              <w:rPr>
                <w:rFonts w:hint="eastAsia" w:ascii="微软雅黑" w:hAnsi="微软雅黑" w:eastAsia="微软雅黑" w:cs="微软雅黑"/>
                <w:color w:val="333333"/>
                <w:kern w:val="0"/>
                <w:sz w:val="15"/>
                <w:szCs w:val="15"/>
                <w:lang w:val="en-US" w:eastAsia="zh-CN" w:bidi="ar"/>
              </w:rPr>
              <w:t>  首聘期内，以安徽工程大学为第一单位在影响因子一区的期刊上发表论文1篇及以上或单篇论文影响因子10.0以上，或主持二类科研项目1项及以上，或获二类科研奖励一等奖（前3名）以上，增加购房补贴5万元（目标完成后发放）。</w:t>
            </w:r>
          </w:p>
        </w:tc>
        <w:tc>
          <w:tcPr>
            <w:tcW w:w="1589"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微软雅黑" w:hAnsi="微软雅黑" w:eastAsia="微软雅黑" w:cs="微软雅黑"/>
                <w:color w:val="333333"/>
                <w:sz w:val="16"/>
                <w:szCs w:val="16"/>
              </w:rPr>
            </w:pPr>
          </w:p>
        </w:tc>
      </w:tr>
      <w:tr>
        <w:tblPrEx>
          <w:shd w:val="clear"/>
          <w:tblLayout w:type="fixed"/>
          <w:tblCellMar>
            <w:top w:w="0" w:type="dxa"/>
            <w:left w:w="0" w:type="dxa"/>
            <w:bottom w:w="0" w:type="dxa"/>
            <w:right w:w="0" w:type="dxa"/>
          </w:tblCellMar>
        </w:tblPrEx>
        <w:trPr>
          <w:trHeight w:val="1791" w:hRule="atLeast"/>
          <w:jc w:val="center"/>
        </w:trPr>
        <w:tc>
          <w:tcPr>
            <w:tcW w:w="6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813" w:type="dxa"/>
            <w:vMerge w:val="continue"/>
            <w:tcBorders>
              <w:top w:val="nil"/>
              <w:left w:val="nil"/>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二档：理工类发表一类科研论文2篇（社科类二类以上3篇）</w:t>
            </w:r>
          </w:p>
        </w:tc>
        <w:tc>
          <w:tcPr>
            <w:tcW w:w="800"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48万</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（其中安家费10万元）</w:t>
            </w:r>
          </w:p>
        </w:tc>
        <w:tc>
          <w:tcPr>
            <w:tcW w:w="7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13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1563"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理工：9万元</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社科：5万元</w:t>
            </w:r>
          </w:p>
        </w:tc>
        <w:tc>
          <w:tcPr>
            <w:tcW w:w="1213"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微软雅黑" w:hAnsi="微软雅黑" w:eastAsia="微软雅黑" w:cs="微软雅黑"/>
                <w:color w:val="333333"/>
                <w:sz w:val="16"/>
                <w:szCs w:val="16"/>
              </w:rPr>
            </w:pPr>
          </w:p>
        </w:tc>
        <w:tc>
          <w:tcPr>
            <w:tcW w:w="1513"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微软雅黑" w:hAnsi="微软雅黑" w:eastAsia="微软雅黑" w:cs="微软雅黑"/>
                <w:color w:val="333333"/>
                <w:sz w:val="16"/>
                <w:szCs w:val="16"/>
              </w:rPr>
            </w:pPr>
          </w:p>
        </w:tc>
        <w:tc>
          <w:tcPr>
            <w:tcW w:w="1363"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微软雅黑" w:hAnsi="微软雅黑" w:eastAsia="微软雅黑" w:cs="微软雅黑"/>
                <w:color w:val="333333"/>
                <w:sz w:val="16"/>
                <w:szCs w:val="16"/>
              </w:rPr>
            </w:pPr>
          </w:p>
        </w:tc>
        <w:tc>
          <w:tcPr>
            <w:tcW w:w="1589"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微软雅黑" w:hAnsi="微软雅黑" w:eastAsia="微软雅黑" w:cs="微软雅黑"/>
                <w:color w:val="333333"/>
                <w:sz w:val="16"/>
                <w:szCs w:val="16"/>
              </w:rPr>
            </w:pPr>
          </w:p>
        </w:tc>
      </w:tr>
      <w:tr>
        <w:tblPrEx>
          <w:tblLayout w:type="fixed"/>
          <w:tblCellMar>
            <w:top w:w="0" w:type="dxa"/>
            <w:left w:w="0" w:type="dxa"/>
            <w:bottom w:w="0" w:type="dxa"/>
            <w:right w:w="0" w:type="dxa"/>
          </w:tblCellMar>
        </w:tblPrEx>
        <w:trPr>
          <w:trHeight w:val="1153" w:hRule="atLeast"/>
          <w:jc w:val="center"/>
        </w:trPr>
        <w:tc>
          <w:tcPr>
            <w:tcW w:w="6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813" w:type="dxa"/>
            <w:vMerge w:val="continue"/>
            <w:tcBorders>
              <w:top w:val="nil"/>
              <w:left w:val="nil"/>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987"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三档：一类科研论文1篇或二类以上2篇</w:t>
            </w:r>
          </w:p>
        </w:tc>
        <w:tc>
          <w:tcPr>
            <w:tcW w:w="800"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41万元</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（其中安家费8万）</w:t>
            </w:r>
          </w:p>
        </w:tc>
        <w:tc>
          <w:tcPr>
            <w:tcW w:w="7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13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1563" w:type="dxa"/>
            <w:tcBorders>
              <w:top w:val="nil"/>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理工：8万元</w:t>
            </w:r>
            <w:r>
              <w:rPr>
                <w:rFonts w:hint="eastAsia" w:ascii="微软雅黑" w:hAnsi="微软雅黑" w:eastAsia="微软雅黑" w:cs="微软雅黑"/>
                <w:color w:val="333333"/>
                <w:kern w:val="0"/>
                <w:sz w:val="15"/>
                <w:szCs w:val="15"/>
                <w:lang w:val="en-US" w:eastAsia="zh-CN" w:bidi="ar"/>
              </w:rPr>
              <w:br w:type="textWrapping"/>
            </w:r>
            <w:r>
              <w:rPr>
                <w:rFonts w:hint="eastAsia" w:ascii="微软雅黑" w:hAnsi="微软雅黑" w:eastAsia="微软雅黑" w:cs="微软雅黑"/>
                <w:color w:val="333333"/>
                <w:kern w:val="0"/>
                <w:sz w:val="15"/>
                <w:szCs w:val="15"/>
                <w:lang w:val="en-US" w:eastAsia="zh-CN" w:bidi="ar"/>
              </w:rPr>
              <w:t>社科：4万元</w:t>
            </w:r>
          </w:p>
        </w:tc>
        <w:tc>
          <w:tcPr>
            <w:tcW w:w="1213"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微软雅黑" w:hAnsi="微软雅黑" w:eastAsia="微软雅黑" w:cs="微软雅黑"/>
                <w:color w:val="333333"/>
                <w:sz w:val="16"/>
                <w:szCs w:val="16"/>
              </w:rPr>
            </w:pPr>
          </w:p>
        </w:tc>
        <w:tc>
          <w:tcPr>
            <w:tcW w:w="1513"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微软雅黑" w:hAnsi="微软雅黑" w:eastAsia="微软雅黑" w:cs="微软雅黑"/>
                <w:color w:val="333333"/>
                <w:sz w:val="16"/>
                <w:szCs w:val="16"/>
              </w:rPr>
            </w:pPr>
          </w:p>
        </w:tc>
        <w:tc>
          <w:tcPr>
            <w:tcW w:w="1363"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微软雅黑" w:hAnsi="微软雅黑" w:eastAsia="微软雅黑" w:cs="微软雅黑"/>
                <w:color w:val="333333"/>
                <w:sz w:val="16"/>
                <w:szCs w:val="16"/>
              </w:rPr>
            </w:pPr>
          </w:p>
        </w:tc>
        <w:tc>
          <w:tcPr>
            <w:tcW w:w="1589" w:type="dxa"/>
            <w:vMerge w:val="continue"/>
            <w:tcBorders>
              <w:top w:val="nil"/>
              <w:left w:val="single" w:color="000000" w:sz="4" w:space="0"/>
              <w:bottom w:val="single" w:color="000000" w:sz="4" w:space="0"/>
              <w:right w:val="single" w:color="000000" w:sz="4" w:space="0"/>
            </w:tcBorders>
            <w:shd w:val="clear"/>
            <w:vAlign w:val="center"/>
          </w:tcPr>
          <w:p>
            <w:pPr>
              <w:jc w:val="left"/>
              <w:rPr>
                <w:rFonts w:hint="eastAsia" w:ascii="微软雅黑" w:hAnsi="微软雅黑" w:eastAsia="微软雅黑" w:cs="微软雅黑"/>
                <w:color w:val="333333"/>
                <w:sz w:val="16"/>
                <w:szCs w:val="16"/>
              </w:rPr>
            </w:pPr>
          </w:p>
        </w:tc>
      </w:tr>
      <w:tr>
        <w:tblPrEx>
          <w:shd w:val="clear"/>
          <w:tblLayout w:type="fixed"/>
          <w:tblCellMar>
            <w:top w:w="0" w:type="dxa"/>
            <w:left w:w="0" w:type="dxa"/>
            <w:bottom w:w="0" w:type="dxa"/>
            <w:right w:w="0" w:type="dxa"/>
          </w:tblCellMar>
        </w:tblPrEx>
        <w:trPr>
          <w:trHeight w:val="339" w:hRule="atLeast"/>
          <w:jc w:val="center"/>
        </w:trPr>
        <w:tc>
          <w:tcPr>
            <w:tcW w:w="638" w:type="dxa"/>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color w:val="333333"/>
                <w:sz w:val="16"/>
                <w:szCs w:val="16"/>
              </w:rPr>
            </w:pPr>
          </w:p>
        </w:tc>
        <w:tc>
          <w:tcPr>
            <w:tcW w:w="18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Style w:val="4"/>
                <w:rFonts w:hint="eastAsia" w:ascii="微软雅黑" w:hAnsi="微软雅黑" w:eastAsia="微软雅黑" w:cs="微软雅黑"/>
                <w:color w:val="333333"/>
                <w:kern w:val="0"/>
                <w:sz w:val="15"/>
                <w:szCs w:val="15"/>
                <w:lang w:val="en-US" w:eastAsia="zh-CN" w:bidi="ar"/>
              </w:rPr>
              <w:t>硕士研究生</w:t>
            </w:r>
          </w:p>
        </w:tc>
        <w:tc>
          <w:tcPr>
            <w:tcW w:w="10117" w:type="dxa"/>
            <w:gridSpan w:val="8"/>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5"/>
                <w:szCs w:val="15"/>
                <w:lang w:val="en-US" w:eastAsia="zh-CN" w:bidi="ar"/>
              </w:rPr>
              <w:t>租房补贴300元/月（3年）</w:t>
            </w:r>
          </w:p>
        </w:tc>
      </w:tr>
      <w:tr>
        <w:tblPrEx>
          <w:tblLayout w:type="fixed"/>
          <w:tblCellMar>
            <w:top w:w="0" w:type="dxa"/>
            <w:left w:w="0" w:type="dxa"/>
            <w:bottom w:w="0" w:type="dxa"/>
            <w:right w:w="0" w:type="dxa"/>
          </w:tblCellMar>
        </w:tblPrEx>
        <w:trPr>
          <w:trHeight w:val="602" w:hRule="atLeast"/>
          <w:jc w:val="center"/>
        </w:trPr>
        <w:tc>
          <w:tcPr>
            <w:tcW w:w="12555" w:type="dxa"/>
            <w:gridSpan w:val="11"/>
            <w:tcBorders>
              <w:top w:val="single" w:color="000000" w:sz="4" w:space="0"/>
              <w:left w:val="nil"/>
              <w:bottom w:val="nil"/>
              <w:right w:val="nil"/>
            </w:tcBorders>
            <w:shd w:val="clear"/>
            <w:vAlign w:val="center"/>
          </w:tcPr>
          <w:p>
            <w:pPr>
              <w:keepNext w:val="0"/>
              <w:keepLines w:val="0"/>
              <w:widowControl/>
              <w:suppressLineNumbers w:val="0"/>
              <w:jc w:val="left"/>
              <w:rPr>
                <w:rFonts w:hint="eastAsia" w:ascii="微软雅黑" w:hAnsi="微软雅黑" w:eastAsia="微软雅黑" w:cs="微软雅黑"/>
                <w:color w:val="333333"/>
                <w:sz w:val="16"/>
                <w:szCs w:val="16"/>
              </w:rPr>
            </w:pPr>
            <w:r>
              <w:rPr>
                <w:rFonts w:hint="eastAsia" w:ascii="微软雅黑" w:hAnsi="微软雅黑" w:eastAsia="微软雅黑" w:cs="微软雅黑"/>
                <w:color w:val="333333"/>
                <w:kern w:val="0"/>
                <w:sz w:val="17"/>
                <w:szCs w:val="17"/>
                <w:lang w:val="en-US" w:eastAsia="zh-CN" w:bidi="ar"/>
              </w:rPr>
              <w:t>备注：1.以上引进的人才，均给予省直事业单位编制；其中，具有博士学位的高层次人才，配备工作电脑一台。2.论文（不含会议论文）、科研项目等级别划分按照安徽省职称评审文件有关规定执行。3.少数因工作需要、不符合编内条件招聘的人员实行人事代理方式聘用。</w:t>
            </w:r>
          </w:p>
        </w:tc>
      </w:tr>
    </w:tbl>
    <w:p>
      <w:pPr>
        <w:pStyle w:val="2"/>
        <w:keepNext w:val="0"/>
        <w:keepLines w:val="0"/>
        <w:widowControl/>
        <w:suppressLineNumbers w:val="0"/>
        <w:spacing w:before="0" w:beforeAutospacing="0" w:after="88" w:afterAutospacing="0" w:line="315" w:lineRule="atLeast"/>
        <w:ind w:left="0" w:right="0" w:firstLine="0"/>
        <w:jc w:val="left"/>
        <w:rPr>
          <w:rFonts w:hint="default" w:ascii="瀹嬩綋" w:hAnsi="瀹嬩綋" w:eastAsia="瀹嬩綋" w:cs="瀹嬩綋"/>
          <w:sz w:val="20"/>
          <w:szCs w:val="20"/>
        </w:rPr>
      </w:pPr>
      <w:r>
        <w:rPr>
          <w:rFonts w:hint="eastAsia" w:ascii="宋体" w:hAnsi="宋体" w:eastAsia="宋体" w:cs="宋体"/>
          <w:color w:val="000000"/>
          <w:kern w:val="0"/>
          <w:sz w:val="20"/>
          <w:szCs w:val="20"/>
          <w:lang w:val="en-US"/>
        </w:rPr>
        <w:t xml:space="preserve">    </w:t>
      </w:r>
      <w:r>
        <w:rPr>
          <w:rStyle w:val="4"/>
          <w:rFonts w:hint="eastAsia" w:ascii="宋体" w:hAnsi="宋体" w:eastAsia="宋体" w:cs="宋体"/>
          <w:color w:val="000000"/>
          <w:kern w:val="0"/>
          <w:sz w:val="20"/>
          <w:szCs w:val="20"/>
          <w:lang w:val="en-US"/>
        </w:rPr>
        <w:t>2.</w:t>
      </w:r>
      <w:r>
        <w:rPr>
          <w:rStyle w:val="4"/>
          <w:rFonts w:hint="eastAsia" w:ascii="宋体" w:hAnsi="宋体" w:eastAsia="宋体" w:cs="宋体"/>
          <w:color w:val="000000"/>
          <w:kern w:val="0"/>
          <w:sz w:val="20"/>
          <w:szCs w:val="20"/>
        </w:rPr>
        <w:t>其他</w:t>
      </w:r>
    </w:p>
    <w:p>
      <w:pPr>
        <w:pStyle w:val="2"/>
        <w:keepNext w:val="0"/>
        <w:keepLines w:val="0"/>
        <w:widowControl/>
        <w:suppressLineNumbers w:val="0"/>
        <w:spacing w:before="0" w:beforeAutospacing="0" w:after="0" w:afterAutospacing="0" w:line="315" w:lineRule="exact"/>
        <w:ind w:left="0" w:right="0" w:firstLine="400" w:firstLineChars="200"/>
        <w:jc w:val="left"/>
        <w:rPr>
          <w:rFonts w:hint="default" w:ascii="瀹嬩綋" w:hAnsi="瀹嬩綋" w:eastAsia="瀹嬩綋" w:cs="瀹嬩綋"/>
          <w:sz w:val="20"/>
          <w:szCs w:val="20"/>
        </w:rPr>
      </w:pPr>
      <w:r>
        <w:rPr>
          <w:rFonts w:hint="eastAsia" w:ascii="宋体" w:hAnsi="宋体" w:eastAsia="宋体" w:cs="宋体"/>
          <w:color w:val="000000"/>
          <w:sz w:val="20"/>
          <w:szCs w:val="20"/>
        </w:rPr>
        <w:t>（1）学校重点学科急需引进的优秀人才且成果突出的，可一事一议，提供具有竞争力的薪酬待遇。符合柔性引进的，可以中江“讲座教授”方式来校工作。充分发挥“长江学者”、“皖江学者”等高层次人才的凝聚作用</w:t>
      </w:r>
      <w:r>
        <w:rPr>
          <w:rFonts w:hint="eastAsia" w:ascii="宋体" w:hAnsi="宋体" w:eastAsia="宋体" w:cs="宋体"/>
          <w:color w:val="000000"/>
          <w:sz w:val="20"/>
          <w:szCs w:val="20"/>
          <w:lang w:val="en-US"/>
        </w:rPr>
        <w:t>,</w:t>
      </w:r>
      <w:r>
        <w:rPr>
          <w:rFonts w:hint="eastAsia" w:ascii="宋体" w:hAnsi="宋体" w:eastAsia="宋体" w:cs="宋体"/>
          <w:color w:val="000000"/>
          <w:sz w:val="20"/>
          <w:szCs w:val="20"/>
        </w:rPr>
        <w:t>实施重要岗位国内外公开招聘。</w:t>
      </w:r>
    </w:p>
    <w:p>
      <w:pPr>
        <w:pStyle w:val="2"/>
        <w:keepNext w:val="0"/>
        <w:keepLines w:val="0"/>
        <w:widowControl/>
        <w:suppressLineNumbers w:val="0"/>
        <w:spacing w:before="0" w:beforeAutospacing="0" w:after="0" w:afterAutospacing="0" w:line="315" w:lineRule="exact"/>
        <w:ind w:left="0" w:right="0" w:firstLine="400" w:firstLineChars="200"/>
        <w:jc w:val="left"/>
        <w:rPr>
          <w:rFonts w:hint="default" w:ascii="瀹嬩綋" w:hAnsi="瀹嬩綋" w:eastAsia="瀹嬩綋" w:cs="瀹嬩綋"/>
          <w:sz w:val="20"/>
          <w:szCs w:val="20"/>
        </w:rPr>
      </w:pPr>
      <w:r>
        <w:rPr>
          <w:rFonts w:hint="eastAsia" w:ascii="宋体" w:hAnsi="宋体" w:eastAsia="宋体" w:cs="宋体"/>
          <w:color w:val="000000"/>
          <w:sz w:val="20"/>
          <w:szCs w:val="20"/>
          <w:lang w:val="en-US"/>
        </w:rPr>
        <w:t>（2）</w:t>
      </w:r>
      <w:r>
        <w:rPr>
          <w:rFonts w:hint="eastAsia" w:ascii="宋体" w:hAnsi="宋体" w:eastAsia="宋体" w:cs="宋体"/>
          <w:color w:val="000000"/>
          <w:sz w:val="20"/>
          <w:szCs w:val="20"/>
        </w:rPr>
        <w:t>购房补贴与安家费均为税后，正式报到入职后按规定一次性转入人才账户。首聘期内（</w:t>
      </w:r>
      <w:r>
        <w:rPr>
          <w:rFonts w:hint="eastAsia" w:ascii="宋体" w:hAnsi="宋体" w:eastAsia="宋体" w:cs="宋体"/>
          <w:color w:val="000000"/>
          <w:sz w:val="20"/>
          <w:szCs w:val="20"/>
          <w:lang w:val="en-US"/>
        </w:rPr>
        <w:t>5</w:t>
      </w:r>
      <w:r>
        <w:rPr>
          <w:rFonts w:hint="eastAsia" w:ascii="宋体" w:hAnsi="宋体" w:eastAsia="宋体" w:cs="宋体"/>
          <w:color w:val="000000"/>
          <w:sz w:val="20"/>
          <w:szCs w:val="20"/>
        </w:rPr>
        <w:t>年），发放总额的</w:t>
      </w:r>
      <w:r>
        <w:rPr>
          <w:rFonts w:hint="eastAsia" w:ascii="宋体" w:hAnsi="宋体" w:eastAsia="宋体" w:cs="宋体"/>
          <w:color w:val="000000"/>
          <w:sz w:val="20"/>
          <w:szCs w:val="20"/>
          <w:lang w:val="en-US"/>
        </w:rPr>
        <w:t>30%</w:t>
      </w:r>
      <w:r>
        <w:rPr>
          <w:rFonts w:hint="eastAsia" w:ascii="宋体" w:hAnsi="宋体" w:eastAsia="宋体" w:cs="宋体"/>
          <w:color w:val="000000"/>
          <w:sz w:val="20"/>
          <w:szCs w:val="20"/>
        </w:rPr>
        <w:t>，余下</w:t>
      </w:r>
      <w:r>
        <w:rPr>
          <w:rFonts w:hint="eastAsia" w:ascii="宋体" w:hAnsi="宋体" w:eastAsia="宋体" w:cs="宋体"/>
          <w:color w:val="000000"/>
          <w:sz w:val="20"/>
          <w:szCs w:val="20"/>
          <w:lang w:val="en-US"/>
        </w:rPr>
        <w:t>70%</w:t>
      </w:r>
      <w:r>
        <w:rPr>
          <w:rFonts w:hint="eastAsia" w:ascii="宋体" w:hAnsi="宋体" w:eastAsia="宋体" w:cs="宋体"/>
          <w:color w:val="000000"/>
          <w:sz w:val="20"/>
          <w:szCs w:val="20"/>
        </w:rPr>
        <w:t>以人才借款的方式发放，服务满</w:t>
      </w:r>
      <w:r>
        <w:rPr>
          <w:rFonts w:hint="eastAsia" w:ascii="宋体" w:hAnsi="宋体" w:eastAsia="宋体" w:cs="宋体"/>
          <w:color w:val="000000"/>
          <w:sz w:val="20"/>
          <w:szCs w:val="20"/>
          <w:lang w:val="en-US"/>
        </w:rPr>
        <w:t>10</w:t>
      </w:r>
      <w:r>
        <w:rPr>
          <w:rFonts w:hint="eastAsia" w:ascii="宋体" w:hAnsi="宋体" w:eastAsia="宋体" w:cs="宋体"/>
          <w:color w:val="000000"/>
          <w:sz w:val="20"/>
          <w:szCs w:val="20"/>
        </w:rPr>
        <w:t>年后方可完全享受。学科建设与科研启动经费以资助项目形式下达。</w:t>
      </w:r>
      <w:r>
        <w:rPr>
          <w:rFonts w:hint="eastAsia" w:ascii="宋体" w:hAnsi="宋体" w:eastAsia="宋体" w:cs="宋体"/>
          <w:color w:val="000000"/>
          <w:sz w:val="23"/>
          <w:szCs w:val="23"/>
          <w:lang w:val="en-US"/>
        </w:rPr>
        <w:br w:type="textWrapping"/>
      </w:r>
      <w:r>
        <w:rPr>
          <w:rFonts w:hint="eastAsia" w:ascii="宋体" w:hAnsi="宋体" w:eastAsia="宋体" w:cs="宋体"/>
          <w:color w:val="000000"/>
          <w:sz w:val="20"/>
          <w:szCs w:val="20"/>
          <w:lang w:val="en-US"/>
        </w:rPr>
        <w:t xml:space="preserve">    （3）</w:t>
      </w:r>
      <w:r>
        <w:rPr>
          <w:rFonts w:hint="eastAsia" w:ascii="宋体" w:hAnsi="宋体" w:eastAsia="宋体" w:cs="宋体"/>
          <w:color w:val="000000"/>
          <w:sz w:val="20"/>
          <w:szCs w:val="20"/>
        </w:rPr>
        <w:t>引进人才配偶安置由所在用人单位提出初步意见，报学校研究。人才调离学校或解除夫妻关系，其配偶应同时与学校解除人事关系。本公告中专任教师配偶由学校安排工作的，人才购房补贴降低</w:t>
      </w:r>
      <w:r>
        <w:rPr>
          <w:rFonts w:hint="eastAsia" w:ascii="宋体" w:hAnsi="宋体" w:eastAsia="宋体" w:cs="宋体"/>
          <w:color w:val="000000"/>
          <w:sz w:val="20"/>
          <w:szCs w:val="20"/>
          <w:lang w:val="en-US"/>
        </w:rPr>
        <w:t>20%</w:t>
      </w:r>
      <w:r>
        <w:rPr>
          <w:rFonts w:hint="eastAsia" w:ascii="宋体" w:hAnsi="宋体" w:eastAsia="宋体" w:cs="宋体"/>
          <w:color w:val="000000"/>
          <w:sz w:val="20"/>
          <w:szCs w:val="20"/>
        </w:rPr>
        <w:t>。学校协助解决人才随迁子女的入托入学问题。</w:t>
      </w:r>
    </w:p>
    <w:p>
      <w:pPr>
        <w:pStyle w:val="2"/>
        <w:keepNext w:val="0"/>
        <w:keepLines w:val="0"/>
        <w:widowControl/>
        <w:suppressLineNumbers w:val="0"/>
        <w:spacing w:before="0" w:beforeAutospacing="0" w:after="0" w:afterAutospacing="0" w:line="315" w:lineRule="exact"/>
        <w:ind w:left="0" w:right="0" w:firstLine="400" w:firstLineChars="200"/>
        <w:jc w:val="left"/>
        <w:rPr>
          <w:rFonts w:hint="default" w:ascii="瀹嬩綋" w:hAnsi="瀹嬩綋" w:eastAsia="瀹嬩綋" w:cs="瀹嬩綋"/>
          <w:sz w:val="20"/>
          <w:szCs w:val="20"/>
        </w:rPr>
      </w:pPr>
      <w:r>
        <w:rPr>
          <w:rFonts w:hint="eastAsia" w:ascii="宋体" w:hAnsi="宋体" w:eastAsia="宋体" w:cs="宋体"/>
          <w:color w:val="000000"/>
          <w:sz w:val="20"/>
          <w:szCs w:val="20"/>
          <w:lang w:val="en-US"/>
        </w:rPr>
        <w:t>（4）</w:t>
      </w:r>
      <w:r>
        <w:rPr>
          <w:rFonts w:hint="eastAsia" w:ascii="宋体" w:hAnsi="宋体" w:eastAsia="宋体" w:cs="宋体"/>
          <w:color w:val="000000"/>
          <w:sz w:val="20"/>
          <w:szCs w:val="20"/>
        </w:rPr>
        <w:t>对于引进海外高层次人才和急需紧缺人才专业技术职务评审实行绿色通道，具体按照学校及省主管部门有关规定执行。</w:t>
      </w:r>
      <w:r>
        <w:rPr>
          <w:rFonts w:hint="eastAsia" w:ascii="宋体" w:hAnsi="宋体" w:eastAsia="宋体" w:cs="宋体"/>
          <w:color w:val="000000"/>
          <w:sz w:val="23"/>
          <w:szCs w:val="23"/>
          <w:lang w:val="en-US"/>
        </w:rPr>
        <w:br w:type="textWrapping"/>
      </w:r>
      <w:r>
        <w:rPr>
          <w:rFonts w:hint="eastAsia" w:ascii="宋体" w:hAnsi="宋体" w:eastAsia="宋体" w:cs="宋体"/>
          <w:color w:val="000000"/>
          <w:sz w:val="20"/>
          <w:szCs w:val="20"/>
          <w:lang w:val="en-US"/>
        </w:rPr>
        <w:t xml:space="preserve">    （5）</w:t>
      </w:r>
      <w:r>
        <w:rPr>
          <w:rFonts w:hint="eastAsia" w:ascii="宋体" w:hAnsi="宋体" w:eastAsia="宋体" w:cs="宋体"/>
          <w:color w:val="000000"/>
          <w:sz w:val="20"/>
          <w:szCs w:val="20"/>
        </w:rPr>
        <w:t>对研究方向明确、具备良好学术潜力的在读博士一年级及以上研究生，可与学校签署定向培养协议，学校发放生活补贴（</w:t>
      </w:r>
      <w:r>
        <w:rPr>
          <w:rFonts w:hint="eastAsia" w:ascii="宋体" w:hAnsi="宋体" w:eastAsia="宋体" w:cs="宋体"/>
          <w:color w:val="000000"/>
          <w:sz w:val="20"/>
          <w:szCs w:val="20"/>
          <w:lang w:val="en-US"/>
        </w:rPr>
        <w:t>4000</w:t>
      </w:r>
      <w:r>
        <w:rPr>
          <w:rFonts w:hint="eastAsia" w:ascii="宋体" w:hAnsi="宋体" w:eastAsia="宋体" w:cs="宋体"/>
          <w:color w:val="000000"/>
          <w:sz w:val="20"/>
          <w:szCs w:val="20"/>
        </w:rPr>
        <w:t>元左右</w:t>
      </w:r>
      <w:r>
        <w:rPr>
          <w:rFonts w:hint="eastAsia" w:ascii="宋体" w:hAnsi="宋体" w:eastAsia="宋体" w:cs="宋体"/>
          <w:color w:val="000000"/>
          <w:sz w:val="20"/>
          <w:szCs w:val="20"/>
          <w:lang w:val="en-US"/>
        </w:rPr>
        <w:t>/</w:t>
      </w:r>
      <w:r>
        <w:rPr>
          <w:rFonts w:hint="eastAsia" w:ascii="宋体" w:hAnsi="宋体" w:eastAsia="宋体" w:cs="宋体"/>
          <w:color w:val="000000"/>
          <w:sz w:val="20"/>
          <w:szCs w:val="20"/>
        </w:rPr>
        <w:t>月，以借款的方式发放，服务满</w:t>
      </w:r>
      <w:r>
        <w:rPr>
          <w:rFonts w:hint="eastAsia" w:ascii="宋体" w:hAnsi="宋体" w:eastAsia="宋体" w:cs="宋体"/>
          <w:color w:val="000000"/>
          <w:sz w:val="20"/>
          <w:szCs w:val="20"/>
          <w:lang w:val="en-US"/>
        </w:rPr>
        <w:t>10</w:t>
      </w:r>
      <w:r>
        <w:rPr>
          <w:rFonts w:hint="eastAsia" w:ascii="宋体" w:hAnsi="宋体" w:eastAsia="宋体" w:cs="宋体"/>
          <w:color w:val="000000"/>
          <w:sz w:val="20"/>
          <w:szCs w:val="20"/>
        </w:rPr>
        <w:t>年后方可完全享受），毕业后按当年政策引进，具体以协议约定为准。对通过学位论文答辩的应届博士研究生，可提前来校工作。</w:t>
      </w:r>
      <w:r>
        <w:rPr>
          <w:rFonts w:hint="eastAsia" w:ascii="宋体" w:hAnsi="宋体" w:eastAsia="宋体" w:cs="宋体"/>
          <w:color w:val="000000"/>
          <w:sz w:val="20"/>
          <w:szCs w:val="20"/>
          <w:lang w:val="en-US"/>
        </w:rPr>
        <w:t xml:space="preserve">  </w:t>
      </w:r>
    </w:p>
    <w:p>
      <w:pPr>
        <w:pStyle w:val="2"/>
        <w:keepNext w:val="0"/>
        <w:keepLines w:val="0"/>
        <w:widowControl/>
        <w:suppressLineNumbers w:val="0"/>
        <w:spacing w:before="0" w:beforeAutospacing="0" w:after="0" w:afterAutospacing="0" w:line="315" w:lineRule="exact"/>
        <w:ind w:left="0" w:right="0" w:firstLine="400" w:firstLineChars="200"/>
        <w:jc w:val="left"/>
        <w:rPr>
          <w:rFonts w:hint="default" w:ascii="瀹嬩綋" w:hAnsi="瀹嬩綋" w:eastAsia="瀹嬩綋" w:cs="瀹嬩綋"/>
          <w:sz w:val="20"/>
          <w:szCs w:val="20"/>
        </w:rPr>
      </w:pPr>
      <w:r>
        <w:rPr>
          <w:rFonts w:hint="eastAsia" w:ascii="宋体" w:hAnsi="宋体" w:eastAsia="宋体" w:cs="宋体"/>
          <w:color w:val="000000"/>
          <w:sz w:val="20"/>
          <w:szCs w:val="20"/>
          <w:lang w:val="en-US"/>
        </w:rPr>
        <w:t>（6）</w:t>
      </w:r>
      <w:r>
        <w:rPr>
          <w:rFonts w:hint="eastAsia" w:ascii="宋体" w:hAnsi="宋体" w:eastAsia="宋体" w:cs="宋体"/>
          <w:color w:val="000000"/>
          <w:sz w:val="20"/>
          <w:szCs w:val="20"/>
        </w:rPr>
        <w:t>各学院可依据相关学科、科研平台及项目经费，给予引进人才配套一定的科研启动经费；报销人才来校面试考核差旅费用。</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瀹嬩綋">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C4D77"/>
    <w:rsid w:val="390C4D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333333"/>
      <w:u w:val="none"/>
    </w:rPr>
  </w:style>
  <w:style w:type="character" w:styleId="11">
    <w:name w:val="HTML Code"/>
    <w:basedOn w:val="3"/>
    <w:uiPriority w:val="0"/>
    <w:rPr>
      <w:rFonts w:ascii="Courier New" w:hAnsi="Courier New"/>
      <w:sz w:val="20"/>
    </w:rPr>
  </w:style>
  <w:style w:type="character" w:styleId="12">
    <w:name w:val="HTML Cite"/>
    <w:basedOn w:val="3"/>
    <w:uiPriority w:val="0"/>
  </w:style>
  <w:style w:type="character" w:customStyle="1" w:styleId="14">
    <w:name w:val="item-name"/>
    <w:basedOn w:val="3"/>
    <w:uiPriority w:val="0"/>
    <w:rPr>
      <w:sz w:val="18"/>
      <w:szCs w:val="18"/>
      <w:bdr w:val="none" w:color="auto" w:sz="0" w:space="0"/>
    </w:rPr>
  </w:style>
  <w:style w:type="character" w:customStyle="1" w:styleId="15">
    <w:name w:val="item-name1"/>
    <w:basedOn w:val="3"/>
    <w:uiPriority w:val="0"/>
    <w:rPr>
      <w:bdr w:val="none" w:color="auto" w:sz="0" w:space="0"/>
    </w:rPr>
  </w:style>
  <w:style w:type="character" w:customStyle="1" w:styleId="16">
    <w:name w:val="item-name2"/>
    <w:basedOn w:val="3"/>
    <w:uiPriority w:val="0"/>
    <w:rPr>
      <w:bdr w:val="none" w:color="auto" w:sz="0" w:space="0"/>
    </w:rPr>
  </w:style>
  <w:style w:type="character" w:customStyle="1" w:styleId="17">
    <w:name w:val="item-name3"/>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2019-01-28T10:57:00Z</dcterms:created>
  <dc:creator>ASUS</dc:creator>
  <cp:lastModifiedBy>ASUS</cp:lastModifiedBy>
  <dcterms:modified xsi:type="dcterms:W3CDTF">2019-01-28T10:58:04Z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