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26" w:beforeAutospacing="0" w:after="626" w:afterAutospacing="0"/>
        <w:ind w:left="0" w:right="0"/>
        <w:rPr>
          <w:rFonts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</w:rPr>
      </w:pPr>
      <w:r>
        <w:rPr>
          <w:rStyle w:val="5"/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  <w:bdr w:val="none" w:color="auto" w:sz="0" w:space="0"/>
          <w:shd w:val="clear" w:fill="F6F4EC"/>
        </w:rPr>
        <w:t>招聘岗位</w:t>
      </w:r>
      <w:r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  <w:bdr w:val="none" w:color="auto" w:sz="0" w:space="0"/>
          <w:shd w:val="clear" w:fill="F6F4EC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626" w:beforeAutospacing="0" w:after="626" w:afterAutospacing="0"/>
        <w:ind w:left="0" w:right="0"/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</w:rPr>
      </w:pPr>
      <w:r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  <w:bdr w:val="none" w:color="auto" w:sz="0" w:space="0"/>
          <w:shd w:val="clear" w:fill="F6F4EC"/>
        </w:rPr>
        <w:t xml:space="preserve">01 招聘领域 </w:t>
      </w:r>
    </w:p>
    <w:tbl>
      <w:tblPr>
        <w:tblW w:w="10638" w:type="dxa"/>
        <w:tblCellSpacing w:w="7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60"/>
        <w:gridCol w:w="8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CellSpacing w:w="7" w:type="dxa"/>
        </w:trPr>
        <w:tc>
          <w:tcPr>
            <w:tcW w:w="4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序号 </w:t>
            </w:r>
          </w:p>
        </w:tc>
        <w:tc>
          <w:tcPr>
            <w:tcW w:w="14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一级学科 </w:t>
            </w:r>
          </w:p>
        </w:tc>
        <w:tc>
          <w:tcPr>
            <w:tcW w:w="86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学科方向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CellSpacing w:w="7" w:type="dxa"/>
        </w:trPr>
        <w:tc>
          <w:tcPr>
            <w:tcW w:w="4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1 </w:t>
            </w:r>
          </w:p>
        </w:tc>
        <w:tc>
          <w:tcPr>
            <w:tcW w:w="14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材料科学与工程 </w:t>
            </w:r>
          </w:p>
        </w:tc>
        <w:tc>
          <w:tcPr>
            <w:tcW w:w="86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纤维材料、复合材料、功能材料、表界面技术、纳米材料及器件、功能涂层、材料物理、材料成型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26" w:beforeAutospacing="0" w:after="626" w:afterAutospacing="0"/>
        <w:ind w:left="0" w:right="0"/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</w:rPr>
      </w:pPr>
      <w:r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  <w:bdr w:val="none" w:color="auto" w:sz="0" w:space="0"/>
          <w:shd w:val="clear" w:fill="F6F4EC"/>
        </w:rPr>
        <w:t xml:space="preserve">02 人事管理 </w:t>
      </w:r>
    </w:p>
    <w:p>
      <w:pPr>
        <w:pStyle w:val="2"/>
        <w:keepNext w:val="0"/>
        <w:keepLines w:val="0"/>
        <w:widowControl/>
        <w:suppressLineNumbers w:val="0"/>
        <w:spacing w:before="626" w:beforeAutospacing="0" w:after="626" w:afterAutospacing="0"/>
        <w:ind w:left="0" w:right="0"/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</w:rPr>
      </w:pPr>
      <w:r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  <w:bdr w:val="none" w:color="auto" w:sz="0" w:space="0"/>
          <w:shd w:val="clear" w:fill="F6F4EC"/>
        </w:rPr>
        <w:t xml:space="preserve">引进人才统一纳入学校事业编制管理，工资，保险，福利等待遇参照国家和陕西省事业单位相关规定执行；根据应聘岗位，双方约定目标任务，签订合同，确定相关待遇。 </w:t>
      </w:r>
    </w:p>
    <w:p>
      <w:pPr>
        <w:pStyle w:val="2"/>
        <w:keepNext w:val="0"/>
        <w:keepLines w:val="0"/>
        <w:widowControl/>
        <w:suppressLineNumbers w:val="0"/>
        <w:spacing w:before="626" w:beforeAutospacing="0" w:after="626" w:afterAutospacing="0"/>
        <w:ind w:left="0" w:right="0"/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</w:rPr>
      </w:pPr>
      <w:r>
        <w:rPr>
          <w:rFonts w:hint="default" w:ascii="text-indent:2em;background-color:#FFFFFF;" w:hAnsi="text-indent:2em;background-color:#FFFFFF;" w:eastAsia="text-indent:2em;background-color:#FFFFFF;" w:cs="text-indent:2em;background-color:#FFFFFF;"/>
          <w:color w:val="333333"/>
          <w:sz w:val="22"/>
          <w:szCs w:val="22"/>
          <w:bdr w:val="none" w:color="auto" w:sz="0" w:space="0"/>
          <w:shd w:val="clear" w:fill="F6F4EC"/>
        </w:rPr>
        <w:t xml:space="preserve">03 招聘层次 </w:t>
      </w:r>
    </w:p>
    <w:tbl>
      <w:tblPr>
        <w:tblW w:w="10698" w:type="dxa"/>
        <w:tblCellSpacing w:w="7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424"/>
        <w:gridCol w:w="5152"/>
        <w:gridCol w:w="4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7" w:type="dxa"/>
        </w:trPr>
        <w:tc>
          <w:tcPr>
            <w:tcW w:w="753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层次 </w:t>
            </w:r>
          </w:p>
        </w:tc>
        <w:tc>
          <w:tcPr>
            <w:tcW w:w="5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条件 </w:t>
            </w:r>
          </w:p>
        </w:tc>
        <w:tc>
          <w:tcPr>
            <w:tcW w:w="47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待遇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7" w:type="dxa"/>
        </w:trPr>
        <w:tc>
          <w:tcPr>
            <w:tcW w:w="753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学科领军人才 </w:t>
            </w:r>
          </w:p>
        </w:tc>
        <w:tc>
          <w:tcPr>
            <w:tcW w:w="5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本科211以上高校材料类专业毕业；博士毕业于国内外知名大学材料类专业，研究方向符合学院发展方向，年龄不超过40岁。主持过国家自然科学基金面上项目或在学科国际旗舰类期刊（PRL、JACS、AFM、AM）一作发表过学术论文； </w:t>
            </w:r>
          </w:p>
        </w:tc>
        <w:tc>
          <w:tcPr>
            <w:tcW w:w="47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1.提供科研配套经费30-80万元； 2.按照学校相关规定购置集资房一套，提供安家费30万； 3.年薪30-40万； 4.按照学校相关规定解决配偶工作； 5.聘期内减免一定额度工作量； 6.协助解决子女人学；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7" w:type="dxa"/>
        </w:trPr>
        <w:tc>
          <w:tcPr>
            <w:tcW w:w="329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教师岗位 </w:t>
            </w:r>
          </w:p>
        </w:tc>
        <w:tc>
          <w:tcPr>
            <w:tcW w:w="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青年拔尖人才 </w:t>
            </w:r>
          </w:p>
        </w:tc>
        <w:tc>
          <w:tcPr>
            <w:tcW w:w="5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本硕博毕业于211或985高校材料类专业，年龄不超过35岁，在学科顶级学术期刊发表SCI 1区学术论文3篇以上，或发表ESI高倍引论文1篇，或主持过国家自然科学基金青年项目； </w:t>
            </w:r>
          </w:p>
        </w:tc>
        <w:tc>
          <w:tcPr>
            <w:tcW w:w="47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1.按照学校相关规定购置集资房一套； 2.提供安家费20万，科研启动经费20-30万； 3.按照程序评定为高级专业技术职务，聘任副教授一级岗位和校聘副教授岗位； 4.聘期内减免一定额度工作量； 5.协助解决子女人学；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7" w:type="dxa"/>
        </w:trPr>
        <w:tc>
          <w:tcPr>
            <w:tcW w:w="329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青年骨干 </w:t>
            </w:r>
          </w:p>
        </w:tc>
        <w:tc>
          <w:tcPr>
            <w:tcW w:w="5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本硕博毕业于211或985高校材料类专业，年龄不超过35岁，在本学科发表高水平SCI学术论文5篇以上，参加过国家自然科学基金项目，掌握学科发展前沿知识，具有发展潜力； </w:t>
            </w:r>
          </w:p>
        </w:tc>
        <w:tc>
          <w:tcPr>
            <w:tcW w:w="47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1. 按照学校相关规定购置集资房一套； 2.提供安家费15万，科研启动经费15万； 3.聘任校聘副教授岗位； 4.聘期内减免一定额度工作量； 5.协助解决子女人学；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7" w:type="dxa"/>
        </w:trPr>
        <w:tc>
          <w:tcPr>
            <w:tcW w:w="329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优秀博士 </w:t>
            </w:r>
          </w:p>
        </w:tc>
        <w:tc>
          <w:tcPr>
            <w:tcW w:w="5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本科毕业于一本院校，博士毕业于211或985高校材料类专业，年龄不超过35岁，在本学科发表高水平SCI学术论文3篇以上，掌握学科发展前沿知识，具有发展潜力； </w:t>
            </w:r>
          </w:p>
        </w:tc>
        <w:tc>
          <w:tcPr>
            <w:tcW w:w="47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1.住房按照《西安工程大学教职工住房管理办法》执行； 2.提供安家费10万，科研启动经费10万； 3.学校提供住房补贴（每月2000月），最长发放三年； 4.聘任讲师一级岗位； 5.协助解决子女人学；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tblCellSpacing w:w="7" w:type="dxa"/>
        </w:trPr>
        <w:tc>
          <w:tcPr>
            <w:tcW w:w="3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实验岗位 </w:t>
            </w:r>
          </w:p>
        </w:tc>
        <w:tc>
          <w:tcPr>
            <w:tcW w:w="4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优秀博士 </w:t>
            </w:r>
          </w:p>
        </w:tc>
        <w:tc>
          <w:tcPr>
            <w:tcW w:w="5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本科毕业于一本院校，年龄不超过45岁，有丰富的实验室管理或科研工作经历，在本学科发表过SCI学术论文1篇以上； </w:t>
            </w:r>
          </w:p>
        </w:tc>
        <w:tc>
          <w:tcPr>
            <w:tcW w:w="47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 xml:space="preserve">1.住房按照《西安工程大学教职工住房管理办法》执行； 2.提供安家费10万，科研启动经费10万； 3.学校提供住房补贴（每月2000月），最长发放三年； 4.聘任实验室工程师岗位； 5.协助解决子女人学； 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xt-indent:2em;background-color:#FFFFFF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324B0"/>
    <w:rsid w:val="64D32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2019-03-22T08:41:00Z</dcterms:created>
  <dc:creator>ASUS</dc:creator>
  <cp:lastModifiedBy>ASUS</cp:lastModifiedBy>
  <dcterms:modified xsi:type="dcterms:W3CDTF">2019-03-22T08:45:44Z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