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696" w:rsidRDefault="006B7696" w:rsidP="006B7696">
      <w:pPr>
        <w:spacing w:line="520" w:lineRule="exact"/>
        <w:rPr>
          <w:rFonts w:eastAsia="黑体"/>
          <w:bCs/>
          <w:color w:val="000000"/>
          <w:spacing w:val="-24"/>
          <w:sz w:val="32"/>
          <w:szCs w:val="32"/>
        </w:rPr>
      </w:pPr>
      <w:r>
        <w:rPr>
          <w:rFonts w:eastAsia="黑体"/>
          <w:bCs/>
          <w:color w:val="000000"/>
          <w:spacing w:val="-24"/>
          <w:sz w:val="32"/>
          <w:szCs w:val="32"/>
        </w:rPr>
        <w:t>附件</w:t>
      </w:r>
      <w:r>
        <w:rPr>
          <w:rFonts w:eastAsia="黑体"/>
          <w:bCs/>
          <w:color w:val="000000"/>
          <w:spacing w:val="-24"/>
          <w:sz w:val="32"/>
          <w:szCs w:val="32"/>
        </w:rPr>
        <w:t>2</w:t>
      </w:r>
    </w:p>
    <w:p w:rsidR="006B7696" w:rsidRDefault="006B7696" w:rsidP="006B7696">
      <w:pPr>
        <w:spacing w:line="580" w:lineRule="exact"/>
        <w:jc w:val="center"/>
        <w:rPr>
          <w:rFonts w:eastAsia="仿宋_GB2312"/>
          <w:bCs/>
          <w:color w:val="000000"/>
          <w:spacing w:val="8"/>
          <w:sz w:val="28"/>
          <w:szCs w:val="28"/>
        </w:rPr>
      </w:pPr>
      <w:bookmarkStart w:id="0" w:name="OLE_LINK1"/>
      <w:bookmarkStart w:id="1" w:name="OLE_LINK2"/>
      <w:r>
        <w:rPr>
          <w:rFonts w:eastAsia="方正小标宋简体"/>
          <w:bCs/>
          <w:color w:val="000000"/>
          <w:spacing w:val="8"/>
          <w:sz w:val="36"/>
          <w:szCs w:val="36"/>
        </w:rPr>
        <w:t>防城港市</w:t>
      </w:r>
      <w:r>
        <w:rPr>
          <w:rFonts w:eastAsia="方正小标宋简体"/>
          <w:bCs/>
          <w:color w:val="000000"/>
          <w:spacing w:val="8"/>
          <w:sz w:val="36"/>
          <w:szCs w:val="36"/>
        </w:rPr>
        <w:t>2019-2020</w:t>
      </w:r>
      <w:r>
        <w:rPr>
          <w:rFonts w:eastAsia="方正小标宋简体"/>
          <w:bCs/>
          <w:color w:val="000000"/>
          <w:spacing w:val="8"/>
          <w:sz w:val="36"/>
          <w:szCs w:val="36"/>
        </w:rPr>
        <w:t>年急需紧缺人才专业目录</w:t>
      </w:r>
    </w:p>
    <w:tbl>
      <w:tblPr>
        <w:tblW w:w="9807" w:type="dxa"/>
        <w:jc w:val="center"/>
        <w:tblLayout w:type="fixed"/>
        <w:tblLook w:val="0000" w:firstRow="0" w:lastRow="0" w:firstColumn="0" w:lastColumn="0" w:noHBand="0" w:noVBand="0"/>
      </w:tblPr>
      <w:tblGrid>
        <w:gridCol w:w="2042"/>
        <w:gridCol w:w="7765"/>
      </w:tblGrid>
      <w:tr w:rsidR="006B7696" w:rsidTr="006C2753">
        <w:trPr>
          <w:trHeight w:val="621"/>
          <w:jc w:val="center"/>
        </w:trPr>
        <w:tc>
          <w:tcPr>
            <w:tcW w:w="2042" w:type="dxa"/>
            <w:tcBorders>
              <w:top w:val="single" w:sz="4" w:space="0" w:color="auto"/>
              <w:left w:val="single" w:sz="4" w:space="0" w:color="auto"/>
              <w:bottom w:val="single" w:sz="4" w:space="0" w:color="auto"/>
              <w:right w:val="single" w:sz="4" w:space="0" w:color="auto"/>
            </w:tcBorders>
            <w:vAlign w:val="center"/>
          </w:tcPr>
          <w:p w:rsidR="006B7696" w:rsidRDefault="006B7696" w:rsidP="00921C99">
            <w:pPr>
              <w:widowControl/>
              <w:spacing w:line="300" w:lineRule="exact"/>
              <w:jc w:val="center"/>
              <w:rPr>
                <w:b/>
                <w:bCs/>
                <w:color w:val="000000"/>
                <w:kern w:val="0"/>
                <w:sz w:val="28"/>
                <w:szCs w:val="28"/>
              </w:rPr>
            </w:pPr>
            <w:r>
              <w:rPr>
                <w:b/>
                <w:bCs/>
                <w:color w:val="000000"/>
                <w:kern w:val="0"/>
                <w:sz w:val="28"/>
                <w:szCs w:val="28"/>
              </w:rPr>
              <w:t>学</w:t>
            </w:r>
            <w:bookmarkEnd w:id="0"/>
            <w:bookmarkEnd w:id="1"/>
            <w:r>
              <w:rPr>
                <w:b/>
                <w:bCs/>
                <w:color w:val="000000"/>
                <w:kern w:val="0"/>
                <w:sz w:val="28"/>
                <w:szCs w:val="28"/>
              </w:rPr>
              <w:t>科类别</w:t>
            </w:r>
          </w:p>
        </w:tc>
        <w:tc>
          <w:tcPr>
            <w:tcW w:w="7765" w:type="dxa"/>
            <w:tcBorders>
              <w:top w:val="single" w:sz="4" w:space="0" w:color="auto"/>
              <w:left w:val="nil"/>
              <w:bottom w:val="single" w:sz="4" w:space="0" w:color="auto"/>
              <w:right w:val="single" w:sz="4" w:space="0" w:color="auto"/>
            </w:tcBorders>
            <w:vAlign w:val="center"/>
          </w:tcPr>
          <w:p w:rsidR="006B7696" w:rsidRDefault="006B7696" w:rsidP="00921C99">
            <w:pPr>
              <w:widowControl/>
              <w:spacing w:line="300" w:lineRule="exact"/>
              <w:jc w:val="center"/>
              <w:rPr>
                <w:rFonts w:eastAsia="黑体"/>
                <w:bCs/>
                <w:color w:val="000000"/>
                <w:spacing w:val="8"/>
                <w:sz w:val="28"/>
                <w:szCs w:val="28"/>
              </w:rPr>
            </w:pPr>
            <w:r>
              <w:rPr>
                <w:rFonts w:eastAsia="黑体"/>
                <w:bCs/>
                <w:color w:val="000000"/>
                <w:spacing w:val="8"/>
                <w:sz w:val="28"/>
                <w:szCs w:val="28"/>
              </w:rPr>
              <w:t>本科和硕士研究生急需紧缺专业</w:t>
            </w:r>
          </w:p>
        </w:tc>
      </w:tr>
      <w:tr w:rsidR="006B7696" w:rsidTr="006C2753">
        <w:trPr>
          <w:trHeight w:val="1130"/>
          <w:jc w:val="center"/>
        </w:trPr>
        <w:tc>
          <w:tcPr>
            <w:tcW w:w="2042" w:type="dxa"/>
            <w:tcBorders>
              <w:top w:val="single" w:sz="4" w:space="0" w:color="auto"/>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（一）经济学、管理学、社会学与法学类</w:t>
            </w:r>
          </w:p>
        </w:tc>
        <w:tc>
          <w:tcPr>
            <w:tcW w:w="7765" w:type="dxa"/>
            <w:tcBorders>
              <w:top w:val="single" w:sz="4" w:space="0" w:color="auto"/>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经济学，财务管理，财务与投资管理，财政学，公共财政管理，金融学，金融工程与经济发展，统计学，会计学，审计学，旅游管理，会展经济与管理，土地资源管理，港航，物流工程与管理，电子商务，信用管理，社会保障，法学。</w:t>
            </w:r>
          </w:p>
        </w:tc>
      </w:tr>
      <w:tr w:rsidR="006B7696" w:rsidTr="006C2753">
        <w:trPr>
          <w:trHeight w:val="1145"/>
          <w:jc w:val="center"/>
        </w:trPr>
        <w:tc>
          <w:tcPr>
            <w:tcW w:w="2042" w:type="dxa"/>
            <w:tcBorders>
              <w:top w:val="nil"/>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（二）土建类</w:t>
            </w:r>
          </w:p>
        </w:tc>
        <w:tc>
          <w:tcPr>
            <w:tcW w:w="7765" w:type="dxa"/>
            <w:tcBorders>
              <w:top w:val="nil"/>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建筑学，建筑设计及其理论，建筑环境与能源工程，土木工程，</w:t>
            </w:r>
            <w:r>
              <w:rPr>
                <w:rFonts w:eastAsia="仿宋_GB2312" w:hint="eastAsia"/>
                <w:color w:val="000000"/>
                <w:sz w:val="24"/>
              </w:rPr>
              <w:t>工程管理、</w:t>
            </w:r>
            <w:r>
              <w:rPr>
                <w:rFonts w:eastAsia="仿宋_GB2312"/>
                <w:color w:val="000000"/>
                <w:sz w:val="24"/>
              </w:rPr>
              <w:t>地质工程，城市（区域）规划（管理），城市规划与设计，城乡规划，资源环境与城乡规划管理，风景园林（学），景观建筑（规划）设计，景观学，市政工程，给水排水（科学）工程，防灾减灾工程及防护工程。</w:t>
            </w:r>
          </w:p>
        </w:tc>
      </w:tr>
      <w:tr w:rsidR="006B7696" w:rsidTr="006C2753">
        <w:trPr>
          <w:trHeight w:val="683"/>
          <w:jc w:val="center"/>
        </w:trPr>
        <w:tc>
          <w:tcPr>
            <w:tcW w:w="2042" w:type="dxa"/>
            <w:tcBorders>
              <w:top w:val="nil"/>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（三）海洋科学及工程类</w:t>
            </w:r>
          </w:p>
        </w:tc>
        <w:tc>
          <w:tcPr>
            <w:tcW w:w="7765" w:type="dxa"/>
            <w:tcBorders>
              <w:top w:val="nil"/>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海洋科学，海洋大气，海洋生物，港口、海岸及近海工程，港口海岸及治河工程，港口航道与海岸工程，船舶与海洋工程。</w:t>
            </w:r>
          </w:p>
        </w:tc>
      </w:tr>
      <w:tr w:rsidR="006B7696" w:rsidTr="006C2753">
        <w:trPr>
          <w:trHeight w:val="837"/>
          <w:jc w:val="center"/>
        </w:trPr>
        <w:tc>
          <w:tcPr>
            <w:tcW w:w="2042" w:type="dxa"/>
            <w:tcBorders>
              <w:top w:val="nil"/>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（四）环境</w:t>
            </w:r>
          </w:p>
          <w:p w:rsidR="006B7696" w:rsidRDefault="006B7696" w:rsidP="00921C99">
            <w:pPr>
              <w:spacing w:line="260" w:lineRule="exact"/>
              <w:jc w:val="left"/>
              <w:rPr>
                <w:rFonts w:eastAsia="仿宋_GB2312"/>
                <w:color w:val="000000"/>
                <w:sz w:val="24"/>
              </w:rPr>
            </w:pPr>
            <w:r>
              <w:rPr>
                <w:rFonts w:eastAsia="仿宋_GB2312"/>
                <w:color w:val="000000"/>
                <w:sz w:val="24"/>
              </w:rPr>
              <w:t>科学</w:t>
            </w:r>
            <w:r>
              <w:rPr>
                <w:rFonts w:eastAsia="仿宋_GB2312" w:hint="eastAsia"/>
                <w:color w:val="000000"/>
                <w:sz w:val="24"/>
              </w:rPr>
              <w:t>与冶金</w:t>
            </w:r>
            <w:r>
              <w:rPr>
                <w:rFonts w:eastAsia="仿宋_GB2312"/>
                <w:color w:val="000000"/>
                <w:sz w:val="24"/>
              </w:rPr>
              <w:t>类</w:t>
            </w:r>
          </w:p>
        </w:tc>
        <w:tc>
          <w:tcPr>
            <w:tcW w:w="7765" w:type="dxa"/>
            <w:tcBorders>
              <w:top w:val="nil"/>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环境科学（工程、管理），能源与环境工程，地质资源与地质工程，水土保持与荒漠化防治，安全工程，安全技术及工程，新能源与可再生能源</w:t>
            </w:r>
            <w:r>
              <w:rPr>
                <w:rFonts w:eastAsia="仿宋_GB2312" w:hint="eastAsia"/>
                <w:color w:val="000000"/>
                <w:sz w:val="24"/>
              </w:rPr>
              <w:t>，</w:t>
            </w:r>
            <w:r>
              <w:rPr>
                <w:rFonts w:eastAsia="仿宋_GB2312"/>
                <w:color w:val="000000"/>
                <w:sz w:val="24"/>
                <w:shd w:val="clear" w:color="auto" w:fill="FFFFFF"/>
              </w:rPr>
              <w:t>核科学与技术，核工程</w:t>
            </w:r>
            <w:r>
              <w:rPr>
                <w:rFonts w:eastAsia="仿宋_GB2312" w:hint="eastAsia"/>
                <w:color w:val="000000"/>
                <w:sz w:val="24"/>
                <w:shd w:val="clear" w:color="auto" w:fill="FFFFFF"/>
              </w:rPr>
              <w:t>，冶金工程，钢铁冶炼</w:t>
            </w:r>
            <w:r>
              <w:rPr>
                <w:rFonts w:eastAsia="仿宋_GB2312"/>
                <w:color w:val="000000"/>
                <w:sz w:val="24"/>
                <w:shd w:val="clear" w:color="auto" w:fill="FFFFFF"/>
              </w:rPr>
              <w:t>。</w:t>
            </w:r>
          </w:p>
        </w:tc>
      </w:tr>
      <w:tr w:rsidR="006B7696" w:rsidTr="006C2753">
        <w:trPr>
          <w:trHeight w:val="695"/>
          <w:jc w:val="center"/>
        </w:trPr>
        <w:tc>
          <w:tcPr>
            <w:tcW w:w="2042" w:type="dxa"/>
            <w:tcBorders>
              <w:top w:val="nil"/>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（五）交通运输类</w:t>
            </w:r>
          </w:p>
        </w:tc>
        <w:tc>
          <w:tcPr>
            <w:tcW w:w="7765" w:type="dxa"/>
            <w:tcBorders>
              <w:top w:val="nil"/>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交通信息工程及控制，交通运输（工程），交通运输规划与管理，道路与铁道工程，油气储运工程，港口物流管理。</w:t>
            </w:r>
          </w:p>
        </w:tc>
      </w:tr>
      <w:tr w:rsidR="006B7696" w:rsidTr="006C2753">
        <w:trPr>
          <w:trHeight w:val="693"/>
          <w:jc w:val="center"/>
        </w:trPr>
        <w:tc>
          <w:tcPr>
            <w:tcW w:w="2042" w:type="dxa"/>
            <w:tcBorders>
              <w:top w:val="nil"/>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（六）机械工程与材料科学类</w:t>
            </w:r>
          </w:p>
        </w:tc>
        <w:tc>
          <w:tcPr>
            <w:tcW w:w="7765" w:type="dxa"/>
            <w:tcBorders>
              <w:top w:val="nil"/>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机械制造及其自动化，机械工程，林业机械，机械电子工程，车辆工程，机械设计及理论，材料科学与工程。</w:t>
            </w:r>
          </w:p>
        </w:tc>
      </w:tr>
      <w:tr w:rsidR="006B7696" w:rsidTr="006C2753">
        <w:trPr>
          <w:trHeight w:val="1000"/>
          <w:jc w:val="center"/>
        </w:trPr>
        <w:tc>
          <w:tcPr>
            <w:tcW w:w="2042" w:type="dxa"/>
            <w:tcBorders>
              <w:top w:val="single" w:sz="4" w:space="0" w:color="auto"/>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（七）电气信息工程及电子信息科技类</w:t>
            </w:r>
          </w:p>
        </w:tc>
        <w:tc>
          <w:tcPr>
            <w:tcW w:w="7765" w:type="dxa"/>
            <w:tcBorders>
              <w:top w:val="single" w:sz="4" w:space="0" w:color="auto"/>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电子（信息）科学与技术，电子信息工程，电子与通信工程，信息与通信工程，通信与信息系统，通信（网络、物联网、信息）工程，信息安全，计算机科学与技术</w:t>
            </w:r>
            <w:r>
              <w:rPr>
                <w:rFonts w:eastAsia="仿宋_GB2312"/>
                <w:color w:val="000000"/>
                <w:sz w:val="24"/>
              </w:rPr>
              <w:t>(</w:t>
            </w:r>
            <w:r>
              <w:rPr>
                <w:rFonts w:eastAsia="仿宋_GB2312"/>
                <w:color w:val="000000"/>
                <w:sz w:val="24"/>
              </w:rPr>
              <w:t>大数据运用</w:t>
            </w:r>
            <w:r>
              <w:rPr>
                <w:rFonts w:eastAsia="仿宋_GB2312"/>
                <w:color w:val="000000"/>
                <w:sz w:val="24"/>
              </w:rPr>
              <w:t>)</w:t>
            </w:r>
            <w:r>
              <w:rPr>
                <w:rFonts w:eastAsia="仿宋_GB2312"/>
                <w:color w:val="000000"/>
                <w:sz w:val="24"/>
              </w:rPr>
              <w:t>。</w:t>
            </w:r>
          </w:p>
        </w:tc>
      </w:tr>
      <w:tr w:rsidR="006B7696" w:rsidTr="006C2753">
        <w:trPr>
          <w:trHeight w:val="845"/>
          <w:jc w:val="center"/>
        </w:trPr>
        <w:tc>
          <w:tcPr>
            <w:tcW w:w="2042" w:type="dxa"/>
            <w:tcBorders>
              <w:top w:val="nil"/>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（八）轻工食品类</w:t>
            </w:r>
          </w:p>
        </w:tc>
        <w:tc>
          <w:tcPr>
            <w:tcW w:w="7765" w:type="dxa"/>
            <w:tcBorders>
              <w:top w:val="nil"/>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农（水）产品加工及贮藏工程，食品科学（工程），食品质量与安全，食品、药品安全与管理学，营养与食品安全，食品加工技术，食品生物技术。</w:t>
            </w:r>
          </w:p>
        </w:tc>
      </w:tr>
      <w:tr w:rsidR="006B7696" w:rsidTr="006C2753">
        <w:trPr>
          <w:trHeight w:val="1526"/>
          <w:jc w:val="center"/>
        </w:trPr>
        <w:tc>
          <w:tcPr>
            <w:tcW w:w="2042" w:type="dxa"/>
            <w:tcBorders>
              <w:top w:val="nil"/>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（九）农林水类</w:t>
            </w:r>
          </w:p>
        </w:tc>
        <w:tc>
          <w:tcPr>
            <w:tcW w:w="7765" w:type="dxa"/>
            <w:tcBorders>
              <w:top w:val="nil"/>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果树学，蔬菜学，茶学，植物病理学，农产品安全，水产养殖，农业（林业）经济管理，农业电气化与自动化，农业机械化及其自动化，农业昆虫与害虫防治，农业生物环境与能源工程，农业信息化技术，种子科学与工程，农业水土工程，农业水利工程，水利工程，水利水电工程（施工与管理），水文（学）与水资源（工程）。</w:t>
            </w:r>
          </w:p>
        </w:tc>
      </w:tr>
      <w:tr w:rsidR="006B7696" w:rsidTr="006C2753">
        <w:trPr>
          <w:trHeight w:val="835"/>
          <w:jc w:val="center"/>
        </w:trPr>
        <w:tc>
          <w:tcPr>
            <w:tcW w:w="2042" w:type="dxa"/>
            <w:tcBorders>
              <w:top w:val="nil"/>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w:t>
            </w:r>
            <w:r>
              <w:rPr>
                <w:rFonts w:eastAsia="仿宋_GB2312"/>
                <w:color w:val="000000"/>
                <w:sz w:val="24"/>
              </w:rPr>
              <w:t>十</w:t>
            </w:r>
            <w:r>
              <w:rPr>
                <w:rFonts w:eastAsia="仿宋_GB2312"/>
                <w:color w:val="000000"/>
                <w:sz w:val="24"/>
              </w:rPr>
              <w:t>)</w:t>
            </w:r>
            <w:r>
              <w:rPr>
                <w:rFonts w:eastAsia="仿宋_GB2312"/>
                <w:color w:val="000000"/>
                <w:sz w:val="24"/>
              </w:rPr>
              <w:t>新闻传播及数字媒体类</w:t>
            </w:r>
          </w:p>
        </w:tc>
        <w:tc>
          <w:tcPr>
            <w:tcW w:w="7765" w:type="dxa"/>
            <w:tcBorders>
              <w:top w:val="nil"/>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 w:val="24"/>
              </w:rPr>
            </w:pPr>
            <w:r>
              <w:rPr>
                <w:rFonts w:eastAsia="仿宋_GB2312"/>
                <w:color w:val="000000"/>
                <w:sz w:val="24"/>
              </w:rPr>
              <w:t>新闻学，传播学，新闻传媒，数字媒体技术，广播电视学，广告学，编辑出版学，艺术设计学，数字媒体艺术，视觉传达设计，广播电视编导，摄影，网络与新媒体，数字出版，影视摄影与制作，艺术与科技，汉语言文学。</w:t>
            </w:r>
          </w:p>
        </w:tc>
      </w:tr>
      <w:tr w:rsidR="006B7696" w:rsidTr="006C2753">
        <w:trPr>
          <w:trHeight w:val="645"/>
          <w:jc w:val="center"/>
        </w:trPr>
        <w:tc>
          <w:tcPr>
            <w:tcW w:w="2042" w:type="dxa"/>
            <w:tcBorders>
              <w:top w:val="single" w:sz="4" w:space="0" w:color="auto"/>
              <w:left w:val="single" w:sz="4" w:space="0" w:color="auto"/>
              <w:bottom w:val="single" w:sz="4" w:space="0" w:color="auto"/>
              <w:right w:val="single" w:sz="4" w:space="0" w:color="auto"/>
            </w:tcBorders>
            <w:vAlign w:val="center"/>
          </w:tcPr>
          <w:p w:rsidR="006B7696" w:rsidRDefault="006B7696" w:rsidP="00921C99">
            <w:pPr>
              <w:widowControl/>
              <w:spacing w:line="300" w:lineRule="exact"/>
              <w:jc w:val="center"/>
              <w:rPr>
                <w:rFonts w:eastAsia="黑体"/>
                <w:color w:val="000000"/>
                <w:sz w:val="28"/>
                <w:szCs w:val="28"/>
              </w:rPr>
            </w:pPr>
            <w:r>
              <w:rPr>
                <w:rFonts w:eastAsia="黑体"/>
                <w:color w:val="000000"/>
                <w:sz w:val="28"/>
                <w:szCs w:val="28"/>
              </w:rPr>
              <w:t>学科类别</w:t>
            </w:r>
          </w:p>
        </w:tc>
        <w:tc>
          <w:tcPr>
            <w:tcW w:w="7765" w:type="dxa"/>
            <w:tcBorders>
              <w:top w:val="single" w:sz="4" w:space="0" w:color="auto"/>
              <w:left w:val="nil"/>
              <w:bottom w:val="single" w:sz="4" w:space="0" w:color="auto"/>
              <w:right w:val="single" w:sz="4" w:space="0" w:color="auto"/>
            </w:tcBorders>
            <w:vAlign w:val="center"/>
          </w:tcPr>
          <w:p w:rsidR="006B7696" w:rsidRDefault="006B7696" w:rsidP="00921C99">
            <w:pPr>
              <w:widowControl/>
              <w:spacing w:line="300" w:lineRule="exact"/>
              <w:jc w:val="center"/>
              <w:rPr>
                <w:rFonts w:eastAsia="黑体"/>
                <w:color w:val="000000"/>
                <w:sz w:val="28"/>
                <w:szCs w:val="28"/>
              </w:rPr>
            </w:pPr>
            <w:r>
              <w:rPr>
                <w:rFonts w:eastAsia="黑体"/>
                <w:color w:val="000000"/>
                <w:sz w:val="28"/>
                <w:szCs w:val="28"/>
              </w:rPr>
              <w:t>博士研究生急需紧缺专业</w:t>
            </w:r>
          </w:p>
        </w:tc>
      </w:tr>
      <w:tr w:rsidR="006B7696" w:rsidTr="006C2753">
        <w:trPr>
          <w:trHeight w:val="775"/>
          <w:jc w:val="center"/>
        </w:trPr>
        <w:tc>
          <w:tcPr>
            <w:tcW w:w="2042" w:type="dxa"/>
            <w:tcBorders>
              <w:top w:val="single" w:sz="4" w:space="0" w:color="auto"/>
              <w:left w:val="single" w:sz="4" w:space="0" w:color="auto"/>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Cs w:val="21"/>
              </w:rPr>
            </w:pPr>
            <w:r>
              <w:rPr>
                <w:rFonts w:eastAsia="仿宋_GB2312"/>
                <w:color w:val="000000"/>
                <w:szCs w:val="21"/>
              </w:rPr>
              <w:t>（一）经济学、管理学</w:t>
            </w:r>
            <w:r w:rsidR="006C2753">
              <w:rPr>
                <w:rFonts w:eastAsia="仿宋_GB2312" w:hint="eastAsia"/>
                <w:color w:val="000000"/>
                <w:szCs w:val="21"/>
              </w:rPr>
              <w:t>类</w:t>
            </w:r>
          </w:p>
        </w:tc>
        <w:tc>
          <w:tcPr>
            <w:tcW w:w="7765" w:type="dxa"/>
            <w:tcBorders>
              <w:top w:val="single" w:sz="4" w:space="0" w:color="auto"/>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Cs w:val="21"/>
              </w:rPr>
            </w:pPr>
            <w:r>
              <w:rPr>
                <w:rFonts w:eastAsia="仿宋_GB2312"/>
                <w:color w:val="000000"/>
                <w:szCs w:val="21"/>
              </w:rPr>
              <w:t>经济学，财务管理，财务与投资管理，财政学，公共财政管理，金融学（工程），旅游管理，会展经济与管理，物流工程及管理</w:t>
            </w:r>
            <w:r w:rsidR="0045336C">
              <w:rPr>
                <w:rFonts w:eastAsia="仿宋_GB2312" w:hint="eastAsia"/>
                <w:color w:val="000000"/>
                <w:szCs w:val="21"/>
              </w:rPr>
              <w:t>、食品药品分析检验</w:t>
            </w:r>
            <w:r>
              <w:rPr>
                <w:rFonts w:eastAsia="仿宋_GB2312"/>
                <w:color w:val="000000"/>
                <w:szCs w:val="21"/>
              </w:rPr>
              <w:t>。</w:t>
            </w:r>
          </w:p>
        </w:tc>
      </w:tr>
      <w:tr w:rsidR="006B7696" w:rsidTr="006C2753">
        <w:trPr>
          <w:trHeight w:val="858"/>
          <w:jc w:val="center"/>
        </w:trPr>
        <w:tc>
          <w:tcPr>
            <w:tcW w:w="2042" w:type="dxa"/>
            <w:tcBorders>
              <w:top w:val="single" w:sz="4" w:space="0" w:color="auto"/>
              <w:left w:val="single" w:sz="4" w:space="0" w:color="auto"/>
              <w:bottom w:val="single" w:sz="4" w:space="0" w:color="auto"/>
              <w:right w:val="single" w:sz="4" w:space="0" w:color="auto"/>
            </w:tcBorders>
            <w:vAlign w:val="center"/>
          </w:tcPr>
          <w:p w:rsidR="006B7696" w:rsidRDefault="006B7696" w:rsidP="00921C99">
            <w:pPr>
              <w:widowControl/>
              <w:spacing w:line="260" w:lineRule="exact"/>
              <w:jc w:val="left"/>
              <w:rPr>
                <w:rFonts w:eastAsia="仿宋_GB2312"/>
                <w:color w:val="000000"/>
                <w:szCs w:val="21"/>
              </w:rPr>
            </w:pPr>
            <w:r>
              <w:rPr>
                <w:rFonts w:eastAsia="仿宋_GB2312"/>
                <w:color w:val="000000"/>
                <w:szCs w:val="21"/>
              </w:rPr>
              <w:t>（二）土建类</w:t>
            </w:r>
          </w:p>
        </w:tc>
        <w:tc>
          <w:tcPr>
            <w:tcW w:w="7765" w:type="dxa"/>
            <w:tcBorders>
              <w:top w:val="single" w:sz="4" w:space="0" w:color="auto"/>
              <w:left w:val="nil"/>
              <w:bottom w:val="single" w:sz="4" w:space="0" w:color="auto"/>
              <w:right w:val="single" w:sz="4" w:space="0" w:color="auto"/>
            </w:tcBorders>
            <w:vAlign w:val="center"/>
          </w:tcPr>
          <w:p w:rsidR="006B7696" w:rsidRDefault="006B7696" w:rsidP="00921C99">
            <w:pPr>
              <w:spacing w:line="260" w:lineRule="exact"/>
              <w:jc w:val="left"/>
              <w:rPr>
                <w:rFonts w:eastAsia="仿宋_GB2312"/>
                <w:color w:val="000000"/>
                <w:szCs w:val="21"/>
              </w:rPr>
            </w:pPr>
            <w:r>
              <w:rPr>
                <w:rFonts w:eastAsia="仿宋_GB2312"/>
                <w:color w:val="000000"/>
                <w:szCs w:val="21"/>
              </w:rPr>
              <w:t>建筑学，建筑设计及其理论，土木工程，</w:t>
            </w:r>
            <w:r>
              <w:rPr>
                <w:rFonts w:eastAsia="仿宋_GB2312" w:hint="eastAsia"/>
                <w:color w:val="000000"/>
                <w:szCs w:val="21"/>
              </w:rPr>
              <w:t>工程管理、</w:t>
            </w:r>
            <w:r>
              <w:rPr>
                <w:rFonts w:eastAsia="仿宋_GB2312"/>
                <w:color w:val="000000"/>
                <w:szCs w:val="21"/>
              </w:rPr>
              <w:t>城市（区域）规划（管理），城市规划与设计，城乡规划学，资源环境与城乡规划管理，风景园林（学），景观建筑（规划）设计。</w:t>
            </w:r>
            <w:r>
              <w:rPr>
                <w:rFonts w:eastAsia="仿宋_GB2312"/>
                <w:color w:val="000000"/>
                <w:szCs w:val="21"/>
              </w:rPr>
              <w:t xml:space="preserve"> </w:t>
            </w:r>
          </w:p>
        </w:tc>
      </w:tr>
    </w:tbl>
    <w:p w:rsidR="00B50263" w:rsidRPr="006C2753" w:rsidRDefault="006C2753" w:rsidP="006C2753">
      <w:pPr>
        <w:spacing w:line="580" w:lineRule="exact"/>
        <w:jc w:val="left"/>
        <w:rPr>
          <w:rFonts w:eastAsia="仿宋_GB2312" w:hint="eastAsia"/>
          <w:sz w:val="32"/>
          <w:szCs w:val="32"/>
        </w:rPr>
      </w:pPr>
      <w:r>
        <w:rPr>
          <w:rFonts w:ascii="黑体" w:eastAsia="黑体" w:hAnsi="黑体" w:cs="黑体" w:hint="eastAsia"/>
          <w:bCs/>
          <w:szCs w:val="21"/>
        </w:rPr>
        <w:t>注：以上各类所涉及专业的相关同类专业均可涵盖纳入急需紧缺人才目录。</w:t>
      </w:r>
      <w:bookmarkStart w:id="2" w:name="_GoBack"/>
      <w:bookmarkEnd w:id="2"/>
    </w:p>
    <w:sectPr w:rsidR="00B50263" w:rsidRPr="006C2753" w:rsidSect="006C275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1E8" w:rsidRDefault="001B01E8" w:rsidP="006C2753">
      <w:r>
        <w:separator/>
      </w:r>
    </w:p>
  </w:endnote>
  <w:endnote w:type="continuationSeparator" w:id="0">
    <w:p w:rsidR="001B01E8" w:rsidRDefault="001B01E8" w:rsidP="006C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1E8" w:rsidRDefault="001B01E8" w:rsidP="006C2753">
      <w:r>
        <w:separator/>
      </w:r>
    </w:p>
  </w:footnote>
  <w:footnote w:type="continuationSeparator" w:id="0">
    <w:p w:rsidR="001B01E8" w:rsidRDefault="001B01E8" w:rsidP="006C2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B7696"/>
    <w:rsid w:val="0004728B"/>
    <w:rsid w:val="001B01E8"/>
    <w:rsid w:val="0045336C"/>
    <w:rsid w:val="006B7696"/>
    <w:rsid w:val="006C2753"/>
    <w:rsid w:val="00B50263"/>
    <w:rsid w:val="00BC456F"/>
    <w:rsid w:val="00BD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1380"/>
  <w15:chartTrackingRefBased/>
  <w15:docId w15:val="{CE8C1001-4C7B-4859-9288-C57C4602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6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7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2753"/>
    <w:rPr>
      <w:rFonts w:ascii="Times New Roman" w:eastAsia="宋体" w:hAnsi="Times New Roman" w:cs="Times New Roman"/>
      <w:sz w:val="18"/>
      <w:szCs w:val="18"/>
    </w:rPr>
  </w:style>
  <w:style w:type="paragraph" w:styleId="a5">
    <w:name w:val="footer"/>
    <w:basedOn w:val="a"/>
    <w:link w:val="a6"/>
    <w:uiPriority w:val="99"/>
    <w:unhideWhenUsed/>
    <w:rsid w:val="006C2753"/>
    <w:pPr>
      <w:tabs>
        <w:tab w:val="center" w:pos="4153"/>
        <w:tab w:val="right" w:pos="8306"/>
      </w:tabs>
      <w:snapToGrid w:val="0"/>
      <w:jc w:val="left"/>
    </w:pPr>
    <w:rPr>
      <w:sz w:val="18"/>
      <w:szCs w:val="18"/>
    </w:rPr>
  </w:style>
  <w:style w:type="character" w:customStyle="1" w:styleId="a6">
    <w:name w:val="页脚 字符"/>
    <w:basedOn w:val="a0"/>
    <w:link w:val="a5"/>
    <w:uiPriority w:val="99"/>
    <w:rsid w:val="006C275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2019-05-09T09:24:00Z</cp:lastPrinted>
  <dcterms:created xsi:type="dcterms:W3CDTF">2019-05-04T07:35:00Z</dcterms:created>
  <dcterms:modified xsi:type="dcterms:W3CDTF">2019-05-10T05:56:00Z</dcterms:modified>
</cp:coreProperties>
</file>