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14141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41414"/>
          <w:spacing w:val="0"/>
          <w:sz w:val="21"/>
          <w:szCs w:val="21"/>
          <w:bdr w:val="none" w:color="auto" w:sz="0" w:space="0"/>
          <w:shd w:val="clear" w:fill="FFFFFF"/>
        </w:rPr>
        <w:t>2019年中小学聘用教师公开招聘情况一览表</w:t>
      </w:r>
      <w:bookmarkStart w:id="0" w:name="_GoBack"/>
      <w:bookmarkEnd w:id="0"/>
    </w:p>
    <w:tbl>
      <w:tblPr>
        <w:tblW w:w="852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130"/>
        <w:gridCol w:w="1156"/>
        <w:gridCol w:w="1329"/>
        <w:gridCol w:w="1329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</w:trPr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招聘教师岗位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学历及年龄要求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所需专业</w:t>
            </w:r>
          </w:p>
        </w:tc>
        <w:tc>
          <w:tcPr>
            <w:tcW w:w="2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所需教师资格证、普通话证要求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普通全日制本科及以上学历，35周岁以下（1984年8月1日以后出生）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为小学及以上教师资格等级，资格学科与报考岗位一致。普通话二级甲等以上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为小学及以上教师资格等级，资格学科与报考岗位一致。普通话为二级乙等以上。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为小学及以上教师资格等级，资格学科与报考岗位一致。普通话为二级乙等以上。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为中学及以上教师资格等级，资格学科与报考岗位一致。普通话为二级乙等以上。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为中学及以上教师资格等级，资格学科与报考岗位一致。普通话为二级乙等以上。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不限专业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textAlignment w:val="baseline"/>
              <w:rPr>
                <w:color w:val="1414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为中学及以上教师资格等级，资格学科与报考岗位一致。普通话为二级甲等以上。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2019-07-29T08:42:54Z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