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1963"/>
        <w:gridCol w:w="2691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820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41414"/>
                <w:spacing w:val="0"/>
                <w:sz w:val="21"/>
                <w:szCs w:val="21"/>
                <w:shd w:val="clear" w:fill="FFFFFF"/>
              </w:rPr>
              <w:t>阿拉善盟引进教育紧缺人才岗位信息表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引才单位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高中化学教师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科技创新教师（以物理学科为主，兼通计算机、通用技术）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高中历史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阿拉善蒙古族完全中学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高中数学教师(蒙授）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阿拉善蒙古族完全中学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高中政治教师（蒙授）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阿拉善蒙古族完全中学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高中汉语文教师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阿左旗教体局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阿左旗高级中学</w:t>
            </w:r>
          </w:p>
        </w:tc>
        <w:tc>
          <w:tcPr>
            <w:tcW w:w="2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阿左旗第三中学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both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阿左旗第四中学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阿左旗第五中学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阿左旗第八中学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阿左旗蒙古族学校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初中汉语文教师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初中数学教师（蒙授）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阿左旗敖伦布拉格九年一贯制学校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阿右旗教体局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阿拉善右旗第一中学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阿拉善右旗第一中学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阿拉善右旗第一中学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心理咨询教师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0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额济纳旗教体局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20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41414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2020-03-31T01:04:05Z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