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font-size:14px;line-height:2.5;" w:hAnsi="font-size:14px;line-height:2.5;" w:eastAsia="font-size:14px;line-height:2.5;" w:cs="font-size:14px;line-height:2.5;"/>
          <w:i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附件：《2021年新巴尔虎右旗教育系统公开招聘“三科”统</w:t>
      </w:r>
      <w:bookmarkStart w:id="0" w:name="_GoBack"/>
      <w:bookmarkEnd w:id="0"/>
      <w:r>
        <w:rPr>
          <w:rFonts w:ascii="font-size:14px;line-height:2.5;" w:hAnsi="font-size:14px;line-height:2.5;" w:eastAsia="font-size:14px;line-height:2.5;" w:cs="font-size:14px;line-height:2.5;"/>
          <w:i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编教材教师职位表》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695"/>
        <w:gridCol w:w="634"/>
        <w:gridCol w:w="744"/>
        <w:gridCol w:w="808"/>
        <w:gridCol w:w="695"/>
        <w:gridCol w:w="698"/>
        <w:gridCol w:w="1098"/>
        <w:gridCol w:w="1185"/>
        <w:gridCol w:w="114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招录</w:t>
            </w:r>
            <w:r>
              <w:rPr>
                <w:rFonts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学历类别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7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31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大学专科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31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高等院校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学士学位及以上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汉语言文学、汉语言、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汉语国际教育、古典文献学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中国语言文学、文艺学、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语言文字及应用语言学、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汉语言文字学、中国现当代文学、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中国古代文学、中国古典文献学、学科教学（语文）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1.蒙汉兼通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2.二级甲等及以上普通话水平测试等级证书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3.本科专业需与研究生专业一致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高等院校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汉语、语文教育、初等教育（语文）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汉语言文学、汉语言、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汉语国际教育、古典文献学、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小学教育（语文）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中国语言文学、文艺学、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语言文字及应用语言学、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汉语言文字学、中国现当代文学、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中国古代文学、中国古典文献学、学科教学（语文）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1.蒙汉兼通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2.二级甲等及以上普通话水平测试等级证书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3.本科专业需与研究生专业一致4.全日制普通高等学校师范类专业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初中道法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高等院校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学士学位及以上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政治学类、马克思主义理论类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思想政治教育、政治学、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哲学、马克思主义理论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1.蒙汉兼通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2.二级乙等及以上普通话水平测试等级证书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3.本科专业需与研究生专业一致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小学道法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高等院校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思想政治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政治学类、马克思主义理论类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思想政治教育、政治学、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哲学、马克思主义理论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1.蒙汉兼通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2.二级乙等及以上普通话水平测试等级证书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3.本科专业需与研究生专业一致4.全日制普通高等学校师范类专业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高等院校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学士学位及以上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历史学类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历史学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1.蒙汉兼通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2.二级乙等及以上普通话水平测试等级证书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3.本科专业需与研究生专业一致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全日制普通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高等院校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学前教育学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1.蒙汉兼通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2.二级乙等及以上普通话水平测试等级证书</w:t>
            </w:r>
            <w:r>
              <w:rPr>
                <w:rFonts w:hint="default" w:ascii="font-size:16px;border-collapse:collapse;" w:hAnsi="font-size:16px;border-collapse:collapse;" w:eastAsia="font-size:16px;border-collapse:collapse;" w:cs="font-size:16px;border-collapse:collaps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lor:#000000;font-size:14px;line-height:2.5;" w:hAnsi="color:#000000;font-size:14px;line-height:2.5;" w:eastAsia="color:#000000;font-size:14px;line-height:2.5;" w:cs="color:#000000;font-size:14px;line-height:2.5;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3.本科专业需与研究生专业一致4.全日制普通高等学校师范类专业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000000;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border-collapse:collaps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2021-01-21T01:25:36Z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