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附：</w:t>
      </w:r>
      <w:bookmarkStart w:id="0" w:name="_GoBack"/>
      <w:bookmarkEnd w:id="0"/>
      <w:r>
        <w:rPr>
          <w:rStyle w:val="5"/>
          <w:rFonts w:hint="eastAsia" w:ascii="微软雅黑" w:hAnsi="微软雅黑" w:eastAsia="微软雅黑" w:cs="微软雅黑"/>
          <w:i w:val="0"/>
          <w:caps w:val="0"/>
          <w:color w:val="666666"/>
          <w:spacing w:val="0"/>
          <w:sz w:val="21"/>
          <w:szCs w:val="21"/>
          <w:bdr w:val="none" w:color="auto" w:sz="0" w:space="0"/>
          <w:shd w:val="clear" w:fill="FFFFFF"/>
        </w:rPr>
        <w:t> 长沙市第二十一中学2021年引进优秀骨干教师资格条件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i w:val="0"/>
          <w:caps w:val="0"/>
          <w:color w:val="666666"/>
          <w:spacing w:val="0"/>
          <w:sz w:val="21"/>
          <w:szCs w:val="21"/>
          <w:bdr w:val="none" w:color="auto" w:sz="0" w:space="0"/>
          <w:shd w:val="clear" w:fill="FFFFFF"/>
        </w:rPr>
        <w:t> </w:t>
      </w:r>
    </w:p>
    <w:tbl>
      <w:tblPr>
        <w:tblW w:w="8798"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307"/>
        <w:gridCol w:w="3546"/>
        <w:gridCol w:w="505"/>
        <w:gridCol w:w="444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190" w:hRule="atLeast"/>
        </w:trPr>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rPr>
              <w:t>编号</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rPr>
              <w:t>资格条件</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rPr>
              <w:t>年龄要求</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rPr>
              <w:t>须提交的材料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320" w:hRule="atLeast"/>
        </w:trPr>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T7</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具有相应层次的教师资格证，事业单位在编工作人员，工作3年以上，具有硕士研究生学历或学位，且须具备以下一个条件：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（1）在教育行政部门或教研部门组织的教学技能比赛中获省一等奖及以上；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（2）辅导学生在高中学科奥赛（数学、物理、化学、生物、信息学）中获得全国联赛一等奖及以上；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（3）辅导学生在教育行政部门或体育行政部门组织的各种比赛中获得省一等奖及以上。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35周岁以下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身份证、教师资格证，事业单位在编工作3年以上的证明（或承诺书或聘用合同或年度考核表）、硕士研究生学历或学位证书、符合（1）-（3）条之一的证书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CE3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2021-02-05T03:51:31Z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