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35" w:firstLineChars="1400"/>
        <w:jc w:val="both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</w:rPr>
        <w:t>淄博市高青县招聘高层次紧缺教师岗位一览表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b/>
          <w:bCs/>
          <w:sz w:val="28"/>
          <w:szCs w:val="28"/>
        </w:rPr>
        <w:instrText xml:space="preserve"> LINK Excel.Sheet.12 C:\\Users\\zzcz\\Desktop\\简表222.xlsx Sheet1!R1C1:R14C8 \a \f 4 \h  \* MERGEFORMAT</w:instrText>
      </w: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separate"/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LINK Excel.Sheet.12 C:\\Users\\zzcz\\Desktop\\岗位一览表.xlsx Sheet1!R4C1:R23C8 \a \f 4 \h  \* MERGEFORMAT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</w:p>
    <w:tbl>
      <w:tblPr>
        <w:tblStyle w:val="2"/>
        <w:tblW w:w="142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771"/>
        <w:gridCol w:w="1509"/>
        <w:gridCol w:w="733"/>
        <w:gridCol w:w="7612"/>
        <w:gridCol w:w="957"/>
        <w:gridCol w:w="868"/>
        <w:gridCol w:w="10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英语教师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5</w:t>
            </w:r>
          </w:p>
        </w:tc>
        <w:tc>
          <w:tcPr>
            <w:tcW w:w="7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研究生：英语语言文学；外国语言学及应用语言学（英语方向）；课程与教学论（英语）；学科教学（英语）；本科：英语</w:t>
            </w:r>
          </w:p>
        </w:tc>
        <w:tc>
          <w:tcPr>
            <w:tcW w:w="9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日语教师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日语语言文学、日语笔译、日语口译、日语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物理教师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：理论物理；原子与分子物理；天体物理；学科教学（物理）；课程与教学论（物理）；物理学；应用物理学；粒子物理与原子核物理；等离子体物理；凝聚态物理；声学；光学；无线电物理；本科：物理学；物理学教育；应用物理学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化学教师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研究生：无机化学；分析化学；有机化学；物理化学；高分子化学与物理；课程与教学论（化学）；学科教学（化学）；本科：化学；应用化学；化学生物学；分子科学与工程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历史教师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6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史学理论及史学史；历史地理学；历史文献学（含∶敦煌学；古文字学）；专门史；中国古代史；中国近现代史；世界史；中国史；学科教学（历史）；课程与教学论（历史）；历史学基地班；历史学；世界历史；考古学；博物馆学；民族学；文物保护技术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地理教师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研究生：自然地理学；人文地理学；地图学与地理信息系统；学科教学（地理）；课程与教学论（地理）；本科：地理科学；资源环境与城乡规划管理；地理信息系统；地球信息科学与技术；地理教育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生物教师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8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：植物学；动物学；生理学；水生生物学；微生物学；神经生物学；遗传学；发育生物学；细胞生物学；生物化学与分子生物学；生物物理学；生态学；学科教学（生物）；课程与教学论（生物）；本科：生物科学；生物技术；生物信息学；生态学；生物资源科学；生物安全；生物科学与生物技术；生物信息技术；植物生物技术；动物生物技术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思政教师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学与行政学、国际政治、外交学、科学社会主义、中国共产党历史、思想政治教育、国际事务与国际关系、政治学、经济学与哲学、哲学、法学、政治学理论、中外政治制度、科学社会主义与国际共产主义运动、国际关系、马克思主义基本原理、马克思主义发展史、马克思主义中国化研究、国外马克思主义研究、中国近现代史基本问题研究、学科教学（思政）、马克思主义哲学、中国哲学、科学技术哲学、课程与教学论（思政）、逻辑学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心理健康教师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研究生：基础心理学；发展与教育心理学；应用心理学；心理健康教育；本科：心理学；应用心理学；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高青县职业中等专业学校（淄博科学技术学校）</w:t>
            </w:r>
          </w:p>
        </w:tc>
        <w:tc>
          <w:tcPr>
            <w:tcW w:w="780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财政补助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机电设备安装与维修专业教师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机械工程；机械设计制造及其自动化；机械电子工程；机械成型与控制工程；机电技术教育；智能制造工程。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实行人员控制总量备案管理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幼儿保育专业教师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3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学前教育；舞蹈学；舞蹈教育；舞蹈表演。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化学工艺专业教师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化学工程与工艺；化学工程与工业生物工程；化学安全工程；化学；应用化学。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建筑装饰技术专业教师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土木工程；建筑学。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火电厂集控运行专业教师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电气工程及其自动化；电气工程与智能控制；电机电气智能化；机电技术教育；焊接技术与工程。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汽车运用与维修专业教师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汽车维修工程教育；汽车服务工程；智能车辆工程。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植物保护专业教师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农学；园艺；植物保护；植物科学与技术；农艺教育；园艺教育；生物学教育。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6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会计专业教师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</w:t>
            </w:r>
          </w:p>
        </w:tc>
        <w:tc>
          <w:tcPr>
            <w:tcW w:w="78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金融学；财政学；税收学；经济学。</w:t>
            </w:r>
          </w:p>
        </w:tc>
        <w:tc>
          <w:tcPr>
            <w:tcW w:w="9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77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end"/>
      </w:r>
    </w:p>
    <w:p/>
    <w:sectPr>
      <w:pgSz w:w="16838" w:h="23811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CE7795"/>
    <w:rsid w:val="2358151F"/>
    <w:rsid w:val="29F20A67"/>
    <w:rsid w:val="51ED4F56"/>
    <w:rsid w:val="598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易班03</dc:creator>
  <cp:lastModifiedBy>木子里予</cp:lastModifiedBy>
  <dcterms:modified xsi:type="dcterms:W3CDTF">2021-03-13T06:11:21Z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1B73658C6F4A4469BF7C9AD09576CD2E</vt:lpwstr>
  </property>
</Properties>
</file>