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background-color:#FFFFFF;" w:hAnsi="background-color:#FFFFFF;" w:eastAsia="background-color:#FFFFFF;" w:cs="background-color:#FFFFFF;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background-color:#FFFFFF;" w:hAnsi="background-color:#FFFFFF;" w:eastAsia="background-color:#FFFFFF;" w:cs="background-color:#FFFFFF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附件1：吴起高级中学“县管校聘”教师招聘岗位需求计划表  </w:t>
      </w:r>
    </w:p>
    <w:tbl>
      <w:tblPr>
        <w:tblW w:w="893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892"/>
        <w:gridCol w:w="894"/>
        <w:gridCol w:w="1788"/>
        <w:gridCol w:w="2236"/>
        <w:gridCol w:w="22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全日制基础教育类一批本科毕业生、基础教育类研究生（本科阶段为二本及以上学历）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本科：汉语言文学、语文教学论、中国语言文学、中国语言文化、应用语言学、汉语文学教育、汉语言、汉语言文学与文化传播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研究生：汉语言文学、语言学与应用语言学、中国现当代文学 、学科教学（语文）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普通话二级甲等及以上等级，高中语文教师资格证。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本科：数学与应用数学、数学教学论、基础数学、应用数学、计算数学、数学教育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研究生：应用数学、基础数学、学科教学（数学）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普通话二级乙等及以上等级，高中英语教师资格证。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本科：英语、英语教学论、英语语言文学、英语教育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研究生：英语语言文学、学科教学（英语）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普通话二级乙等及以上等级，高中英语教师资格证。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 思想政治教育、政治学 研究生：学科教学（思政）、政治学理论、思想政治教育课程与教学论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普通话二级乙等及以上等级，高中政治教师资格证。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本科：生物科学、生物技术、生物资源科学、生物信息技术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研究生：微生物学、植物学、动物学、学科教学（生物）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普通话二级乙等及以上等级，高中生物教师资格证。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 地理科学、地理教育、自然地理与资源环境、 人文地理与城乡规划、地理信息科学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研究生：自然地理学、人文地理学、学科教学（地理）、地理课程与教学论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普通话二级乙等及以上等级，高中地理教师资格证。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本科：社会体育、体育教育、运动训练、社会体育指导与管理、武术与民族传统体育、民族传统体育、运动人体科学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研究生：体育人文社会学、体育教育训练学、民族传统体育学、社会体育指导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普通话二级乙等及以上等级，高中体育与健康教师资格证。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2021-03-30T06:04:08Z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A0BC320FC4084417B927406F2CFB6C31</vt:lpwstr>
  </property>
</Properties>
</file>