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background-color:#FFFFFF;" w:hAnsi="background-color:#FFFFFF;" w:eastAsia="background-color:#FFFFFF;" w:cs="background-color:#FFFFFF;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default" w:ascii="background-color:#FFFFFF;" w:hAnsi="background-color:#FFFFFF;" w:eastAsia="background-color:#FFFFFF;" w:cs="background-color:#FFFFFF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附件2： 吴起县职业教育中心“县管校聘”教师招聘岗位需求计划表</w:t>
      </w:r>
    </w:p>
    <w:tbl>
      <w:tblPr>
        <w:tblW w:w="8618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859"/>
        <w:gridCol w:w="863"/>
        <w:gridCol w:w="1725"/>
        <w:gridCol w:w="2156"/>
        <w:gridCol w:w="215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4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9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5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10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2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2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旅游服务与管理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全日制基础教育类、职业教育类一批本科及以上毕业生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本科：旅游管理、旅游管理与服务教育 研究生：旅游管理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所学专业与引进专业相符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计算机应用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本科：计算机应用技术、网络工程、软件工程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研究生：计算机应用技术、软件工程、计算机科学与技术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相应的专业等级证或技能等级证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财务 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本科：财务管理、财务会计教育、会计学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研究生：财务管理、会计学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所学专业与引进专业相符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  <w:jc w:val="center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本科：钢琴、舞蹈学、音乐学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研究生：音乐学、舞蹈学、音乐与舞蹈学 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高中音乐教师资格证及相应的专业资格证或技能等级证</w:t>
            </w:r>
          </w:p>
        </w:tc>
      </w:tr>
    </w:tbl>
    <w:p>
      <w:r>
        <w:rPr>
          <w:rFonts w:ascii="font-size:14px;" w:hAnsi="font-size:14px;" w:eastAsia="font-size:14px;" w:cs="font-size:14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F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2021-03-30T06:04:45Z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D12B18001969421994375C45ABBCE4FE</vt:lpwstr>
  </property>
</Properties>
</file>