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附件： 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202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年三门县中小学教师公开招聘计划一览表</w:t>
      </w:r>
    </w:p>
    <w:tbl>
      <w:tblPr>
        <w:tblW w:w="87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854"/>
        <w:gridCol w:w="465"/>
        <w:gridCol w:w="584"/>
        <w:gridCol w:w="4895"/>
        <w:gridCol w:w="749"/>
        <w:gridCol w:w="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4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岗位或专业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日语、应用日语、日语语言文学、日语笔译、日语口译、日语教育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语言学与应用语言学、汉语国际教育、中国古典文献学、中国古代文学、中国现当代文学、秘书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、小学教育、初等教育（汉语言文学方向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中小学音乐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音乐教育、音乐学、作曲与作曲技术理论、艺术教育（音乐）、音乐表演、舞蹈学、戏剧学、表演学、录音艺术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中小学体育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体育学、体育教育、运动训练、社会体育、竞技体育、田径、球类、武术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中小学美术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美术教育、美术学、绘画、雕塑、中国画、动画、艺术设计学、艺术设计、视觉传达设计、环境设计、产品设计、服装服饰设计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小学教育、初等教育等专业报考岗位以教师资格证学科为准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2021-04-22T07:17:21Z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DBB878FF38E04A59A195739B1C05DD05</vt:lpwstr>
  </property>
</Properties>
</file>