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780"/>
        <w:gridCol w:w="597"/>
        <w:gridCol w:w="780"/>
        <w:gridCol w:w="780"/>
        <w:gridCol w:w="2818"/>
        <w:gridCol w:w="780"/>
        <w:gridCol w:w="780"/>
        <w:gridCol w:w="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74" w:type="dxa"/>
          <w:trHeight w:val="538" w:hRule="atLeast"/>
        </w:trPr>
        <w:tc>
          <w:tcPr>
            <w:tcW w:w="17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76" w:type="dxa"/>
          <w:trHeight w:val="538" w:hRule="atLeast"/>
        </w:trPr>
        <w:tc>
          <w:tcPr>
            <w:tcW w:w="4441" w:type="dxa"/>
            <w:gridSpan w:val="9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杭州市富阳区所属事业单位公开招聘教师计划表（2021年5月批次）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76" w:type="dxa"/>
          <w:trHeight w:val="538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所属区域（学校）</w:t>
            </w:r>
          </w:p>
        </w:tc>
        <w:tc>
          <w:tcPr>
            <w:tcW w:w="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1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招聘对象、范围和要求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76" w:type="dxa"/>
          <w:trHeight w:val="1601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户籍（生源）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76" w:type="dxa"/>
          <w:trHeight w:val="2130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全区小学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列入国家统一招生计划并且毕业时能如期取得相应学历、学位证书的普通高等院校、普通高等职业技术院校本科及以上学历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学历专业或教师资格证（或教育部考试中心颁发的教师资格考试合格证明）对应学科                            小学教育、教育学专业无明确方向的可报考小学语文或小学数学                         资格层次为高中（含职高）、初中的可报考小学</w:t>
            </w:r>
          </w:p>
        </w:tc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硕士研究生及以上学历，或全国“双一流重点建设高校”本科及以上毕业生，户籍不限。普通高校本科校级及以上优秀毕业生，户籍不限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76" w:type="dxa"/>
          <w:trHeight w:val="2130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全区小学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76" w:type="dxa"/>
          <w:trHeight w:val="2130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全区小学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76" w:type="dxa"/>
          <w:trHeight w:val="2130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全区小学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76" w:type="dxa"/>
          <w:trHeight w:val="11655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全区小学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曾获省级专业技能大赛一等奖，或具有国家体育总局颁发的“运动健将”证书，学历放宽到本科及以上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76" w:type="dxa"/>
          <w:trHeight w:val="3188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全区小学</w:t>
            </w:r>
          </w:p>
        </w:tc>
        <w:tc>
          <w:tcPr>
            <w:tcW w:w="312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76" w:type="dxa"/>
          <w:trHeight w:val="8480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全区幼儿园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列入国家统一招生计划并且毕业时能如期取得相应学历、学位证书的普通高等院校、普通高等职业技术院校本科及以上学历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具有适用的教师资格证（或已取得教育部考试中心颁发的教师资格考试合格证明），学前教育专业或音乐、美术、体育专业</w:t>
            </w:r>
          </w:p>
        </w:tc>
        <w:tc>
          <w:tcPr>
            <w:tcW w:w="8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硕士研究生及以上学历或全国“双一流重点建设高校”本科及以上毕业生，户籍不限。普通高校本科校级及以上优秀毕业生，户籍不限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76" w:type="dxa"/>
          <w:trHeight w:val="2659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全区幼儿园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具有幼儿园教师资格证（或已取得教育部考试中心颁发的幼儿园教师资格考试合格证明），学历专业不限</w:t>
            </w:r>
          </w:p>
        </w:tc>
        <w:tc>
          <w:tcPr>
            <w:tcW w:w="8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76" w:type="dxa"/>
          <w:trHeight w:val="3188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学前教育C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全区幼儿园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要求有富阳区幼儿园工作2年及以上经历且现仍在我区幼儿园工作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76" w:type="dxa"/>
          <w:trHeight w:val="11651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浙江省盲人学校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列入国家统一招生计划并且毕业时能如期取得相应学历、学位证书的普通高等院校、普通高等职业技术院校本科及以上学历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特殊教育专业或教师资格证（或教育部考试中心颁发的教师资格考试合格证明）对应学科</w:t>
            </w: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硕士研究生及以上学历或全国“双一流重点建设高校”本科及以上毕业生，户籍不限。普通高校本科校级及以上优秀毕业生，户籍不限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76" w:type="dxa"/>
          <w:trHeight w:val="538" w:hRule="atLeast"/>
        </w:trPr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1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8417" w:type="dxa"/>
            <w:gridSpan w:val="10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1.户籍“不限”指具有中华人民共和国国籍的公民不限地区户籍，浙江户籍范围指浙江省行政区域范围（含浙江生源的全日制普通高校2021年应届毕业生，生源指参加高考时的户籍），以2021年4月30日的户口所在地为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417" w:type="dxa"/>
            <w:gridSpan w:val="10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2.专业条件参照《普通高等学校本科专业目录（2020年）》和《授予博士、硕士学位和培养研究生的学科、专业目录（2018年）》。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2021-05-10T02:02:58Z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922E2B9891034D4996DAFE827DC1811E</vt:lpwstr>
  </property>
</Properties>
</file>