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52"/>
        <w:gridCol w:w="620"/>
        <w:gridCol w:w="354"/>
        <w:gridCol w:w="820"/>
        <w:gridCol w:w="353"/>
        <w:gridCol w:w="263"/>
        <w:gridCol w:w="263"/>
        <w:gridCol w:w="1543"/>
        <w:gridCol w:w="906"/>
        <w:gridCol w:w="353"/>
        <w:gridCol w:w="263"/>
        <w:gridCol w:w="353"/>
        <w:gridCol w:w="1085"/>
        <w:gridCol w:w="12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宜宾三江新区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2021年第一次公开招用合同制教师岗位表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9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65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笔试最低开考比例</w:t>
            </w:r>
          </w:p>
        </w:tc>
        <w:tc>
          <w:tcPr>
            <w:tcW w:w="349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5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70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20210601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20210602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具有初中及以上对应学科教师资格证，普通话二级乙等及以上资格证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20210603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具有初中及以上对应学科教师资格证，普通话二级乙等及以上资格证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20210604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具有初中及以上对应学科教师资格证，普通话二级乙等及以上资格证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20210605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具有初中及以上对应学科教师资格证，普通话二级乙等及以上资格证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20210606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具有初中及以上对应学科教师资格证，普通话二级乙等及以上资格证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20210607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具有初中及以上对应学科教师资格证，普通话二级乙等及以上资格证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20210608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具有初中及以上对应学科教师资格证，普通话二级乙等及以上资格证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20210609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具有初中及以上对应学科教师资格证，普通话二级乙等及以上资格证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20210610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具有初中及以上对应学科教师资格证，普通话二级乙等及以上资格证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20210611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具有初中及以上对应学科教师资格证，普通话二级乙等及以上资格证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三江新区中学校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20210612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具有初中及以上对应学科教师资格证，普通话二级乙等及以上资格证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三江新区小学校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20210613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三江新区小学校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20210614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三江新区小学校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20210615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三江新区小学校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20210616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三江新区小学校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小学道德与法制教师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20210617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三江新区小学校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20210618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三江新区小学校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20210619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三江新区小学校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20210620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三江新区小学校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20210621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三江新区小学校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20210622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三江新区小学校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小学心理健康教师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20210623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具有小学及以上对应学科教师资格证，普通话二级甲等及以上资格证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幼儿教师（一）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20210624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幼儿教师（二）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20210625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幼儿教师（三）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20210626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幼儿教师（四）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20210627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幼儿教师（五）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20210628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幼儿教师（六）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20210629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幼儿教师（七）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20210630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幼儿教师（八）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20210631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幼儿教师（九）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20210632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幼儿教师（十）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20210633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幼儿教师（十一）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20210634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幼儿教师（十二）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20210635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幼儿教师（十三）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20210636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幼儿教师（十四）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20210637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幼儿教师（十五）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20210638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幼儿教师（十六）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20210639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三江新区幼儿园</w:t>
            </w:r>
          </w:p>
        </w:tc>
        <w:tc>
          <w:tcPr>
            <w:tcW w:w="2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幼儿教师（十七）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20210640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35周岁及以下（获得镇、乡级及以上优秀教师、优秀乡村教师、优秀班主任、优秀教育工作者之一者，或者获得镇、乡级及以上赛课一等奖获得者，可放宽到40周岁及以下）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具有幼儿教师资格证，普通话二级甲等及以上资格证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5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专业技能面试（现场提问+才艺展示，才艺展示涉及的所有器材一律自备，包括音乐播放设备，考场均不提供）</w:t>
            </w:r>
          </w:p>
        </w:tc>
        <w:tc>
          <w:tcPr>
            <w:tcW w:w="7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1.最低服务期5年，全区统筹使用，服从调配；2.三江新区在编和合同制教师不能报考。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501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2021-06-03T01:23:46Z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D9392BECE6CC4BB2BF27E1CFB284898B</vt:lpwstr>
  </property>
</Properties>
</file>