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3" w:beforeAutospacing="0" w:after="120" w:afterLines="50" w:afterAutospacing="0" w:line="600" w:lineRule="exact"/>
        <w:ind w:left="0" w:right="0"/>
        <w:jc w:val="left"/>
      </w:pPr>
      <w:r>
        <w:rPr>
          <w:rFonts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3" w:beforeAutospacing="0" w:after="120" w:afterLines="50" w:afterAutospacing="0" w:line="60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彭州市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南部新城学校</w:t>
      </w:r>
      <w:r>
        <w:rPr>
          <w:rFonts w:hint="default" w:ascii="方正小标宋简体" w:hAnsi="宋体" w:eastAsia="方正小标宋简体" w:cs="宋体"/>
          <w:color w:val="00000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彭州市教育人才管理服务中心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3" w:beforeAutospacing="0" w:after="120" w:afterLines="50" w:afterAutospacing="0" w:line="600" w:lineRule="exact"/>
        <w:ind w:left="0" w:right="0"/>
        <w:jc w:val="center"/>
      </w:pPr>
      <w:r>
        <w:rPr>
          <w:rFonts w:hint="default" w:ascii="方正小标宋简体" w:hAnsi="宋体" w:eastAsia="方正小标宋简体" w:cs="宋体"/>
          <w:color w:val="00000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年招聘员额教师岗位分布表</w:t>
      </w:r>
    </w:p>
    <w:tbl>
      <w:tblPr>
        <w:tblW w:w="8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746"/>
        <w:gridCol w:w="1044"/>
        <w:gridCol w:w="719"/>
        <w:gridCol w:w="628"/>
        <w:gridCol w:w="628"/>
        <w:gridCol w:w="1184"/>
        <w:gridCol w:w="716"/>
        <w:gridCol w:w="1207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学科岗位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派遣岗位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及其他要求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南部新城学校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21101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中国语言文学类及相关教育类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360" w:lineRule="exac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年龄35周岁以下（1986年9月1日及以后出生）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360" w:lineRule="exact"/>
              <w:ind w:left="0" w:right="0" w:firstLine="460" w:firstLineChars="192"/>
              <w:jc w:val="left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1、国民教育本科及以上学历毕业生；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360" w:lineRule="exact"/>
              <w:ind w:left="0" w:right="0" w:firstLine="480" w:firstLineChars="200"/>
              <w:jc w:val="left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取得相应教师资格证；暂未取得教师资格证书的人员，可持在有效期内的中小学教师资格考试合格证明或笔试合格成绩（即“中小学教师资格考试NTCE成绩”，幼儿园、小学、中职教师资格为两科笔试成绩，初中、高中教师资格为三科笔试成绩）报名应聘。严格“持证上岗”，所有拟聘人员在办理聘用手续前须取得相应教师资格证书,否则取消聘用资格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360" w:lineRule="exact"/>
              <w:ind w:left="0" w:right="0" w:firstLine="460" w:firstLineChars="192"/>
              <w:jc w:val="left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3、小学教师、初中语文教师普通话等级达二级甲等及以上。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360" w:lineRule="exact"/>
              <w:ind w:left="0" w:right="0" w:firstLine="480" w:firstLineChars="200"/>
              <w:jc w:val="left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根据工作需要，由彭州市教育人才管理服务中心派遣至彭州市南部新城学校工作。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南部新城学校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数学类及相关教育类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南部新城学校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英语及相关教育类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南部新城学校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体育学及相关教育类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南部新城学校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21103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中国语言文学类及相关教育类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南部新城学校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数学类及相关教育类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3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道德与法治教师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南部新城学校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21114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政治学、思想政治教育、学科教学（思政）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南部新城学校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21112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地理科学类及相关教育类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南部新城学校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21106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生物科学、生物技术、生物信息学、生态学及相关教育类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南部新城学校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21107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音乐与舞蹈学类及相关教育类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南部新城学校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美术及美术教育相关专业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4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南部新城学校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21113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计算机科学与技术、软件工程、网络工程、信息安全、数字媒体技术、教育技术学及相关专业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1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南部新城学校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心理学类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p>
      <w:pPr>
        <w:spacing w:line="420" w:lineRule="atLeast"/>
        <w:rPr>
          <w:rFonts w:hint="eastAsia" w:ascii="仿宋" w:hAnsi="仿宋" w:eastAsia="仿宋" w:cs="Helvetica"/>
          <w:color w:val="000000"/>
          <w:kern w:val="0"/>
          <w:sz w:val="32"/>
          <w:szCs w:val="32"/>
          <w:bdr w:val="none" w:color="auto" w:sz="0" w:space="0"/>
          <w:shd w:val="clear" w:fill="FFFFFF"/>
        </w:r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C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TML Definition"/>
    <w:basedOn w:val="3"/>
    <w:uiPriority w:val="0"/>
    <w:rPr>
      <w:i/>
      <w:iCs/>
    </w:rPr>
  </w:style>
  <w:style w:type="character" w:styleId="7">
    <w:name w:val="Hyperlink"/>
    <w:basedOn w:val="3"/>
    <w:uiPriority w:val="0"/>
    <w:rPr>
      <w:color w:val="000000"/>
      <w:u w:val="none"/>
    </w:rPr>
  </w:style>
  <w:style w:type="character" w:styleId="8">
    <w:name w:val="HTML Code"/>
    <w:basedOn w:val="3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1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2021-06-11T03:48:20Z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C38CCB3E467246668CDC537E6954A185</vt:lpwstr>
  </property>
</Properties>
</file>