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屏山县2021年第一次公开招用合同制教师岗位表</w:t>
      </w:r>
    </w:p>
    <w:tbl>
      <w:tblPr>
        <w:tblW w:w="100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38"/>
        <w:gridCol w:w="438"/>
        <w:gridCol w:w="462"/>
        <w:gridCol w:w="438"/>
        <w:gridCol w:w="649"/>
        <w:gridCol w:w="1494"/>
        <w:gridCol w:w="633"/>
        <w:gridCol w:w="1847"/>
        <w:gridCol w:w="859"/>
        <w:gridCol w:w="438"/>
        <w:gridCol w:w="1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827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选聘岗位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选聘名额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选聘范围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考核方式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约定事项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学历或学位要求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其它条件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屏山县县城幼儿园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学前教育、幼儿教育、学前教育学专业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具有幼儿教师资格证，和普通话二级甲等及以上。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《教育公共基础》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模拟教学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按考试总成绩从高分到低分依次选择岗位。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屏山县乡镇幼儿园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学前教育、幼儿教育、学前教育学专业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具有幼儿教师资格证，和普通话二级甲等及以上。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《教育公共基础》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模拟教学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按考试总成绩从高分到低分依次选择岗位。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2021-07-07T06:40:25Z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1BC9066120C04A92968DCD0AD51F8964</vt:lpwstr>
  </property>
</Properties>
</file>