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ascii="方正小标宋简体" w:hAnsi="方正小标宋简体" w:eastAsia="方正小标宋简体" w:cs="Times New Roman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厦门海洋职业技术学院引进人才待遇一览表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 w:firstLineChars="200"/>
        <w:textAlignment w:val="auto"/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  <w:t>学院待遇</w:t>
      </w:r>
    </w:p>
    <w:tbl>
      <w:tblPr>
        <w:tblStyle w:val="5"/>
        <w:tblW w:w="8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766"/>
        <w:gridCol w:w="13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科研启动费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过渡房或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租金补贴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领军人才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教授（具有博士学位）、教授级高级工程师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教授（具有硕士学位）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32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副高级职称（具有博士学位）、博士后、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2000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博士研究生、副高级职称（具有硕士学位）、高级工程师（学士学位）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1200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产业人才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创新创业团队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2" w:firstLineChars="200"/>
        <w:textAlignment w:val="auto"/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  <w:t>省、市待遇</w:t>
      </w:r>
    </w:p>
    <w:tbl>
      <w:tblPr>
        <w:tblStyle w:val="5"/>
        <w:tblW w:w="8085" w:type="dxa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2"/>
        <w:gridCol w:w="1800"/>
        <w:gridCol w:w="168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人才项目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生活津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（补）贴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住房补贴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安家补助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福建省年度紧缺急需人才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2000-5000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14-18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福建省引进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类高层次人才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25-200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厦门市新引进人才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博士（不超过40周岁）8万；硕士（不超过35周岁）5万；“双一流”建设高校（学科）及世界最新排名前200名大学本科（不超过30周岁）3万元；其他高校应届本科生1万。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厦门市高层次及骨干人才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根据政策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厦门市人才住房、厦门市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保障性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商品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61E77"/>
    <w:rsid w:val="08B86A90"/>
    <w:rsid w:val="24F7216B"/>
    <w:rsid w:val="27362843"/>
    <w:rsid w:val="2851725B"/>
    <w:rsid w:val="54AD77C8"/>
    <w:rsid w:val="593F4F7E"/>
    <w:rsid w:val="61661E77"/>
    <w:rsid w:val="6774795C"/>
    <w:rsid w:val="7ED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2020-07-27T09:09:00Z</dcterms:created>
  <dc:creator>肖苏华</dc:creator>
  <cp:lastModifiedBy>肖苏华</cp:lastModifiedBy>
  <dcterms:modified xsi:type="dcterms:W3CDTF">2021-12-16T07:07:37Z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EF0D248F7D1A4D4A88C75F5B487D37EF</vt:lpwstr>
  </property>
</Properties>
</file>