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647"/>
        <w:gridCol w:w="1150"/>
        <w:gridCol w:w="1323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计划招聘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  <w:bookmarkStart w:id="0" w:name="_GoBack"/>
            <w:bookmarkEnd w:id="0"/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35周岁及以下（1986年4月11日以后出生）</w:t>
            </w:r>
          </w:p>
        </w:tc>
        <w:tc>
          <w:tcPr>
            <w:tcW w:w="1323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教育基础知识、学科专业知识</w:t>
            </w: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1.汉语言学、小学教育（语文方向）及相关专业，并持有对应学科的教师资格证；2.大学本科及以上学历。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1.汉语言学、小学教育（语文方向）及相关专业，并持有对应学科的教师资格证；2.大学本科以上学历，并具有相应学位。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1.数学、数学教育、数学与应用数学、小学教育（数学方向）及相关专业，并持有对应学科的教师资格证；2.大学本科及以上学历。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1.数学、数学教育、数学与应用数学、小学教育（数学方向）及相关专业，并持有对应学科的教师资格证；2.大学本科以上学历，并具有相应学位。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1.英语、英语教育及相关专业，并持有对应学科的教师资格证；2.大学本科及以上学历，并具有相应学位。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1.生物、物理、化学及专业，并持有对应学科的教师资格证；2.大学本科及以上学历，并具有相应学位。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1.计算机科学技术、计算机应用（网络技术、信息工程、教育技术学及相关专业），并持有对应学科的教师资格证；2.大学本科及以上学历，并具有相应学位。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1.心理学、发展与教育心理学、应用心理学及相关专业，并持有对应学科的教师资格证；2.大学本科及以上学历，并具有相应学位。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1.美术、美术教育及相关专业，并持有对应学科的教师资格证；2.大学本科及以上学历，并具有相应学位。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1.音乐、音乐教育及相关专业并持有对应学科的教师资格证；2.大学本科及以上学历，并具有相应学位。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80" w:type="dxa"/>
            <w:vMerge w:val="restart"/>
            <w:tcBorders>
              <w:top w:val="single" w:color="333333" w:sz="8" w:space="0"/>
              <w:left w:val="single" w:color="000000" w:sz="4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1.体育、体育教育、运动训练、民族传统体育及相关专业，并持有对应学科的教师资格证；2.大学本科及以上学历，并具有相应学位。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333333" w:sz="8" w:space="0"/>
              <w:left w:val="single" w:color="000000" w:sz="4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2022-04-12T02:25:29Z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08629BBD20C94E3C85481B354414377D</vt:lpwstr>
  </property>
</Properties>
</file>