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628"/>
        <w:gridCol w:w="1305"/>
        <w:gridCol w:w="874"/>
        <w:gridCol w:w="909"/>
        <w:gridCol w:w="838"/>
        <w:gridCol w:w="1185"/>
        <w:gridCol w:w="2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900" w:type="dxa"/>
            <w:gridSpan w:val="8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bdr w:val="none" w:color="auto" w:sz="0" w:space="0"/>
              </w:rPr>
              <w:t>岗位核减、取消表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开考比例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报名成功人数</w:t>
            </w:r>
          </w:p>
        </w:tc>
        <w:tc>
          <w:tcPr>
            <w:tcW w:w="2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核减招聘人数</w:t>
            </w:r>
            <w:r>
              <w:rPr>
                <w:rFonts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核减招聘人数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高中生物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取消招聘岗位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高中地理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1:3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取消招聘岗位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46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2022-06-25T03:25:28Z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F2CC00F5502345DE99B6D5190018D51F</vt:lpwstr>
  </property>
</Properties>
</file>