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附件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1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Calibri" w:hAnsi="Calibri" w:eastAsia="宋体" w:cs="Times New Roman"/>
          <w:b/>
          <w:sz w:val="32"/>
          <w:szCs w:val="32"/>
        </w:rPr>
        <w:t>合肥职业技术学院高层次人才业绩成果评分表</w:t>
      </w:r>
    </w:p>
    <w:bookmarkEnd w:id="0"/>
    <w:tbl>
      <w:tblPr>
        <w:tblStyle w:val="3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23"/>
        <w:gridCol w:w="6"/>
        <w:gridCol w:w="1254"/>
        <w:gridCol w:w="1080"/>
        <w:gridCol w:w="3269"/>
        <w:gridCol w:w="1611"/>
        <w:gridCol w:w="5476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</w:rPr>
              <w:t>项 目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56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</w:rPr>
              <w:t>内        容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</w:rPr>
              <w:t>分值</w:t>
            </w:r>
          </w:p>
        </w:tc>
        <w:tc>
          <w:tcPr>
            <w:tcW w:w="54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</w:rPr>
              <w:t>分值说明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绩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1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教师个人参加竞赛获奖（满分15分）</w:t>
            </w: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国家级（一、二、三等奖）（10分）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10、8、5</w:t>
            </w:r>
          </w:p>
        </w:tc>
        <w:tc>
          <w:tcPr>
            <w:tcW w:w="5476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1.教师个人参加同类项目不同等级竞赛，多次获奖的，按最高奖项计分一次；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2.论文奖只记第一作者；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3.获奖级别以颁奖单位级别为准。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省级（一、二、三等奖）（8分）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8、5、3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市厅级（一、二、三等奖）（5分）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5、3、2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2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指导学生参加竞赛获奖（满分15分）</w:t>
            </w: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国家级（一、二、三等奖）（10分）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10、7、4</w:t>
            </w:r>
          </w:p>
        </w:tc>
        <w:tc>
          <w:tcPr>
            <w:tcW w:w="5476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1.指导同一学生团队参加同类竞赛项目，以最高奖项计分一次；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2.以证书为准，教师指导不分排名；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3.获奖级别以颁奖单位级别为准。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省级（一、二、三等奖）（8分）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8、5、3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市厅级（一、二、三等奖）（5分）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5、2、1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学会级（一、二、三等奖）（3分）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3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特殊人才（满分15分）</w:t>
            </w: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国家级教学名师、专业带头人、优秀教师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15</w:t>
            </w:r>
          </w:p>
        </w:tc>
        <w:tc>
          <w:tcPr>
            <w:tcW w:w="5476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同类称号按最高项只计分一次。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省级教学名师、专业带头人、优秀教师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10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省级教坛新秀、省级骨干教师（8分）</w:t>
            </w:r>
            <w:r>
              <w:rPr>
                <w:rFonts w:ascii="Calibri" w:hAnsi="Calibri" w:eastAsia="仿宋" w:cs="Times New Roman"/>
                <w:szCs w:val="22"/>
              </w:rPr>
              <w:t>/</w:t>
            </w:r>
            <w:r>
              <w:rPr>
                <w:rFonts w:hint="eastAsia" w:ascii="Calibri" w:hAnsi="Calibri" w:eastAsia="宋体" w:cs="Times New Roman"/>
                <w:szCs w:val="22"/>
              </w:rPr>
              <w:t>院级教学名师、专业带头人（5分）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</w:t>
            </w:r>
            <w:r>
              <w:rPr>
                <w:rFonts w:ascii="Calibri" w:hAnsi="Calibri" w:eastAsia="宋体" w:cs="Times New Roman"/>
                <w:szCs w:val="22"/>
              </w:rPr>
              <w:t>/</w:t>
            </w:r>
            <w:r>
              <w:rPr>
                <w:rFonts w:hint="eastAsia" w:ascii="Calibri" w:hAnsi="Calibri" w:eastAsia="宋体" w:cs="Times New Roman"/>
                <w:szCs w:val="22"/>
              </w:rPr>
              <w:t>5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4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发表论文（满分35分）</w:t>
            </w: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1类期刊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15/篇</w:t>
            </w:r>
          </w:p>
        </w:tc>
        <w:tc>
          <w:tcPr>
            <w:tcW w:w="5476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论文只记第一作者；</w:t>
            </w:r>
          </w:p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同篇文章按最高项计分一次。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2类期刊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12/篇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3类期刊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8/篇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5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规划教材（满分30分）</w:t>
            </w: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国家级高职高专规划教材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5/本</w:t>
            </w:r>
          </w:p>
        </w:tc>
        <w:tc>
          <w:tcPr>
            <w:tcW w:w="5476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1.国家级规划教材主编另加5分，副主编写另加3分；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2.省级规划教材主编另加3分，副主编另加1分。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省部级高职高专规划教材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3/本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6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科研项目（满分35分）</w:t>
            </w: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1类项目（排名前5）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15、10、8、5、3 </w:t>
            </w:r>
          </w:p>
        </w:tc>
        <w:tc>
          <w:tcPr>
            <w:tcW w:w="5476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1.排名顺序以申报书为准；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2.同一项目获不同等级立项的，按最高等级计分一次；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3.横向科研项目按到学院账户金额计分，多人合作完成的，按排名的1/n积分；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4.项目结题的加3分。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2类项目（排名前5）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10、8、5、3、2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3类项目（排名前5）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8、5、3、2、1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4类项目（排名前3）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5、3、2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5.发明专利（排名前3）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8、4、2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6.实用新型专利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5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7.横向科研项目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0.3分</w:t>
            </w:r>
            <w:r>
              <w:rPr>
                <w:rFonts w:ascii="Calibri" w:hAnsi="Calibri" w:eastAsia="宋体" w:cs="Times New Roman"/>
                <w:szCs w:val="22"/>
              </w:rPr>
              <w:t>/</w:t>
            </w:r>
            <w:r>
              <w:rPr>
                <w:rFonts w:hint="eastAsia" w:ascii="Calibri" w:hAnsi="Calibri" w:eastAsia="宋体" w:cs="Times New Roman"/>
                <w:szCs w:val="22"/>
              </w:rPr>
              <w:t>仟元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7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教研项目（满分20分）</w:t>
            </w: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国家级（排名前5）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10、8、5、3、2</w:t>
            </w:r>
          </w:p>
        </w:tc>
        <w:tc>
          <w:tcPr>
            <w:tcW w:w="5476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1.排名顺序以申报书为准；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2.同一项目获不同等级立项的，按最高等级计分一次。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省级（排名前5）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8、5、3、2、1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34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市厅级（排名前3）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8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教学成果奖（满分25分）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国家级</w:t>
            </w:r>
          </w:p>
        </w:tc>
        <w:tc>
          <w:tcPr>
            <w:tcW w:w="3269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（一等奖，排名前5）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15、10、8、5、3</w:t>
            </w:r>
          </w:p>
        </w:tc>
        <w:tc>
          <w:tcPr>
            <w:tcW w:w="5476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1.排名顺序以成果推荐书为准；</w:t>
            </w: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2.同一成果获不同等级奖励的，按最高奖励计分一次。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（二等奖，排名前5）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10、8、5、3、2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（三等奖，排名前5）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8、5、3、2、1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省级</w:t>
            </w:r>
          </w:p>
        </w:tc>
        <w:tc>
          <w:tcPr>
            <w:tcW w:w="3269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（特等奖，排名前5）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10、8、5、3、2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（一等奖，排名前5）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8、5、4、2、1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（二等奖，排名前5）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5、4、3、2、1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（三等奖，排名前3）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3、2、1</w:t>
            </w:r>
          </w:p>
        </w:tc>
        <w:tc>
          <w:tcPr>
            <w:tcW w:w="5476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39" w:type="dxa"/>
            <w:gridSpan w:val="7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实际总得分</w:t>
            </w:r>
          </w:p>
        </w:tc>
        <w:tc>
          <w:tcPr>
            <w:tcW w:w="6329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rPr>
          <w:rFonts w:ascii="Calibri" w:hAnsi="Calibri" w:eastAsia="宋体" w:cs="Times New Roman"/>
          <w:szCs w:val="22"/>
        </w:rPr>
      </w:pPr>
      <w:r>
        <w:rPr>
          <w:rFonts w:hint="eastAsia" w:ascii="Calibri" w:hAnsi="Calibri" w:eastAsia="宋体" w:cs="Times New Roman"/>
          <w:szCs w:val="22"/>
        </w:rPr>
        <w:t>注：项目1-8审核评分不得超过各项的满分（超过项目满分的记满分），业绩总分190分。换算为材料审核得分=100</w:t>
      </w:r>
      <w:r>
        <w:rPr>
          <w:rFonts w:hint="eastAsia" w:ascii="宋体" w:hAnsi="宋体" w:eastAsia="宋体" w:cs="Times New Roman"/>
          <w:szCs w:val="22"/>
        </w:rPr>
        <w:t>×材料审核</w:t>
      </w:r>
      <w:r>
        <w:rPr>
          <w:rFonts w:hint="eastAsia" w:ascii="Calibri" w:hAnsi="Calibri" w:eastAsia="宋体" w:cs="Times New Roman"/>
          <w:szCs w:val="22"/>
        </w:rPr>
        <w:t>实际得分</w:t>
      </w:r>
      <w:r>
        <w:rPr>
          <w:rFonts w:hint="eastAsia" w:ascii="宋体" w:hAnsi="宋体" w:eastAsia="宋体" w:cs="Times New Roman"/>
          <w:szCs w:val="22"/>
        </w:rPr>
        <w:t>÷190</w:t>
      </w:r>
    </w:p>
    <w:p>
      <w:pPr>
        <w:rPr>
          <w:rFonts w:ascii="Calibri" w:hAnsi="Calibri" w:eastAsia="宋体" w:cs="Times New Roman"/>
          <w:szCs w:val="22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6E49"/>
    <w:multiLevelType w:val="multilevel"/>
    <w:tmpl w:val="51BC6E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64C10"/>
    <w:rsid w:val="2E2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2019-12-24T03:21:00Z</dcterms:created>
  <dc:creator>Administrator</dc:creator>
  <cp:lastModifiedBy>Administrator</cp:lastModifiedBy>
  <dcterms:modified xsi:type="dcterms:W3CDTF">2019-12-24T03:23:02Z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