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i w:val="0"/>
          <w:caps w:val="0"/>
          <w:color w:val="2677C8"/>
          <w:spacing w:val="0"/>
          <w:sz w:val="21"/>
          <w:szCs w:val="21"/>
        </w:rPr>
      </w:pPr>
      <w:r>
        <w:rPr>
          <w:rFonts w:ascii="宋体" w:hAnsi="宋体" w:eastAsia="宋体" w:cs="宋体"/>
          <w:b/>
          <w:i w:val="0"/>
          <w:caps w:val="0"/>
          <w:color w:val="2677C8"/>
          <w:spacing w:val="0"/>
          <w:sz w:val="21"/>
          <w:szCs w:val="21"/>
        </w:rPr>
        <w:t>沁阳市2016年公开招聘事业单位工作人员简章</w:t>
      </w:r>
    </w:p>
    <w:p>
      <w:pPr>
        <w:pStyle w:val="2"/>
        <w:keepNext w:val="0"/>
        <w:keepLines w:val="0"/>
        <w:widowControl/>
        <w:suppressLineNumbers w:val="0"/>
        <w:shd w:val="clear" w:fill="F9F9F9"/>
        <w:spacing w:after="210" w:afterAutospacing="0" w:line="330" w:lineRule="atLeast"/>
        <w:ind w:left="0" w:firstLine="0"/>
        <w:jc w:val="left"/>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9F9F9"/>
        </w:rPr>
        <w:t>根据工作需要，我市决定面向社会公开招聘事业单位工作人员168名。简章如下：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一、招聘单位和人数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本次共招聘事业单位工作人员168名，其中：高学历人才类20名；综合类47名；医疗卫生类71名；教育类30名。（详见附件1《沁阳市2016年公开招聘事业单位工作人员岗位表》）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二、招聘对象、条件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（一）符合下列条件的人员均可报考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1、具有中华人民共和国国籍，遵纪守法，品行端正、身体健康；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2、符合各报考岗位的学历、专业和任职资格等要求。具体以《岗位表》所列条件为准，其中：年龄=2016-出生年份；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3、符合用人单位提出的其他条件;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4、在职人员报考，需在报考人员登记表上写明在职经历，在领取面试通知书时提供单位和主管部门同意报考的证明。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（二）有下列情形之一的不得报考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1、刑事处罚期限未满或者涉嫌违法犯罪正在接受调查的人员；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2、尚未解除党纪、政纪处分或正在接受纪律审查的人员；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3、曾在公务员招录、事业单位公开招聘考试中被认定有舞弊等严重违反招聘纪律行为5年以内的人员；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4、国家、省、市另有规定不得应聘到事业单位的人员。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三、招聘办法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本次招聘按岗位报名，每人限报一个岗位。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（一）报名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本次报名采取现场报名的方式进行。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1、报名时间：2016年10月24日至10月28日。每天上午8:00至11:30，下午14:30至17:30。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2、报名地点：市人力资源和社会保障局服务大厅。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3、报考者须持以下材料进行资格初审，并于通过资格初审后缴纳考务费60元: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（1）有效身份证原件及复印件一份；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（2）毕业证、学位证、资格证等相关证件原件及复印件一份；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（3）《沁阳市2016年公开招聘事业单位工作人员报名登记表》（附件4，请通过沁阳市政府网站自行下载并填写）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4）报考乡镇办事处事业单位定向招聘的，须是服务期满且考核合格的参加国家志愿服务西部计划和河南省志愿服务贫困县计划的沁阳籍毕业生（提供户口本和证书原件复印件）；下派到沁阳市服务期满考核合格的“三支一扶”大学生（提供证书原件和复印件）；参加“沁阳市高校毕业生进社区服务”计划的大学生（提供证书原件和复印件）；截止2016年10月在岗、连续任职3年以上、历年年度考核均为称职以上的沁阳市大学生村干部（提供沁阳市大学生村干部管理工作办公室的证明）。拟参加定向招聘的报考者，在报名时间内提交有关资料，逾期不提交视为放弃报考资格。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（5）报考面向驻沁阳市现役军人随军家属（经军队师、旅级以上单位政治机关批准，并办理随军手续的现役军人配偶）招聘岗位的，须提供沁阳市军队转业干部工作办公室的证明。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4、岗位报名人数与拟聘岗位名额最低比例为3：1，达不到比例要求的递减拟聘岗位名额，递减后仍达不到比例要求的，本岗位不再招聘。因递减不再招聘的岗位，通知报考者11月1日到沁阳市人力资源和社会保障局选报其他符合条件的岗位，逾期不到或不愿重新选报的，退还所交的考务费。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5、通过资格审查的考生于2016年11月10日持本人有效身份证和缴费收据，到市人力资源和社会保障局服务大厅领取笔试准考证，并核对笔试准考证信息。如信息有误，由工作人员进行校正。笔试准考证保留至体检结束。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6、其他事项：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①报名同时进行图像信息采集，报考者务必本人前来；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②通过资格初审的人员，不得修改报考岗位；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③报名与考试时使用的身份证必须一致。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（二）考试（考试分为笔试和面试）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本次考试不指定考试辅导用书，不举办也不委托任何机构举办考试辅导培训班。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1、笔试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笔试时间以笔试准考证发布的时间为准。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笔试按类别分三套试题，每套试题满分为100分，考试时间为120分钟。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（1）高学历人才类岗位和综合类岗位的笔试内容为公共基础知识和申论；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（2）医疗卫生类岗位的笔试内容为公共基础知识和卫生基础知识；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3）教育类岗位的笔试内容为《教育理论1》（包括教育学、教育心理学）和《教育理论2》（包括学科教材教法、教学技能、学生与团队管理、教师职业道德、教育政策法规等）两科，并辅以时事政治等相关知识。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根据笔试成绩，按1：3的比例从高分到低分依次确定参加面试人员；同一岗位最后一名笔试成绩出现并列的一并进入面试。笔试成绩和进入面试人员名单在沁阳市政府网站公布，请考生注意查询。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2、面试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面试时间以面试通知书为准。考生应在规定时间凭有效身份证、准考证到报名地点领取面试通知书。面试满分为100分。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（1）高学历人才类、综合类和医疗卫生类的岗位面试采取结构化面试方式进行，主要测试应聘者的心理素质、逻辑思维能力、语言表达能力、组织协调能力、气质形象，时间10分钟。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2）教育类岗位面试采取说课的形式：说课时间为15分钟，面试成绩=说课成绩。其中，体育和音乐学科的面试采取说课和专业测试的形式：说课时间为10分钟，体育学科的专业测试内容为足球方面的技能展示，音乐学科的专业测试内容为民乐方向的才艺展示，面试成绩=说课成绩×60%+专业测试成绩×40%。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说课题目通过抽签确定，说课科目为应聘学科课程，说课范围、教材在笔试成绩公布同时在指定网站公布。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（3） 如同一拟聘用岗位有2个以上面试考场的，将采用“二次平均法”对应试者的面试原始成绩进行平衡，平衡后的成绩为最终面试成绩。（详见附件5二次平均法）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4）面试时，如有缺考人员造成招聘岗位形不成竞争的，该岗位面试人员的面试成绩应达到其所在面试小组使用同一套面试题本的面试人员平均分，方可进入体检；如出现平均分无法计算的岗位，面试人员的面试成绩不得低于70分，方可进入体检。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3、考试总成绩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（1）高学历人才类、综合类和医疗卫生类岗位的考试总成绩=笔试成绩+面试成绩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（2）教育类岗位的考试总成绩=笔试成绩×40%+面试成绩×60%。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面试成绩、考试总成绩及进入体检人员名单将在面试结束当天通过考场外张贴和沁阳市政府网站公告发布。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（三）体检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根据考试总成绩，按拟聘岗位1：1的比例由高分到低分依次确定参加体检人员。若同一岗位确定的体检人员最后一名考试成绩出现并列，则笔试成绩高的进入体检，笔试成绩也并列的加试面试，按加试成绩确定进入体检人员。教育类体检标准参照《河南省教师资格申请人员体检标准》执行。高学历人才类岗位、综合类岗位和医疗卫生类岗位体检参照《公务员录用体检通用标准（试行）》规定执行，体检费用自理。体检若有不合格者，依次递补。体检结果和进入考察人员名单通过沁阳市政府网站发布公告。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（四）考察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体检合格者进入考察。考察由各用人单位及主管部门具体组织实施。报考者须在规定时间内提交本人人事档案和要求的其他材料。考察阶段因考察不合格出现招聘岗位缺额的不再递补，因自愿放弃出现招聘岗位缺额的按考试总成绩由高到低依次递补。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四、聘用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根据总成绩、体检和考察结果，择优聘用，进行公示，公示期为7个工作日；公示无异议后，由沁阳市人力资源和社会保障局下发聘用文件。聘用人员按岗位管理，由用人单位与聘用人员签订聘用合同。聘用人员按有关规定实行试用期，试用期满，考核合格的，正式聘用；不合格的，解除聘用合同，由人才市场推荐就业或自主择业。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高学历人才类的工作岗位由市人才工作领导小组办公室根据专业确定；聘用人员纳入“沁阳市引进高学历人才”专项财政全供事业编制；被聘用人员工作期间除执行财政全供事业单位工资福利待遇外，享受市政府年度工作津贴5000元，补助年限为3年。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综合类岗位中应聘乡镇办事处岗位的人员，其具体聘用单位按考试总成绩由高到低的顺序，依照《乡镇（办事处）事业单位工作人员分配名额》（附件2、3），由聘用人员自主选择用人单位。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教育类岗位中应聘农村初中和农村小学岗位的人员，其具体聘用单位由教育局根据教学实际确定。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五、纪律与监督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资格审查贯穿本次招聘工作的全过程。报考人员提交的信息和有关材料必须真实有效，报名时签订诚信承诺。凡未在规定时间，领取有关通知、提供相关材料、参加笔试、面试、体检的、办理聘用手续的，均视为自动放弃应聘资格；对弄虚作假和违反招聘考试纪律的报考人员一律取消应聘资格。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招聘工作接受社会和纪检监察部门监督。公务人员严格实行任职回避和公务回避制度，招聘过程中若出现违纪违规行为，将予以严肃处理。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此次招聘的指定工作网站为沁阳市人民政府网（http://www.qinyang.gov.cn）。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咨询电话：0391-2102823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附件：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1、《沁阳市2016年公开招聘事业单位工作人员岗位表》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2、《定向招聘乡镇（办事处）事业单位工作人员分配名额》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3、《公开招聘乡镇（办事处）事业单位工作人员分配名额》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4、《沁阳市2016年公开招聘事业单位工作人员报名登记表》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5、二次平均法  </w:t>
      </w:r>
      <w:r>
        <w:rPr>
          <w:rFonts w:hint="eastAsia" w:ascii="宋体" w:hAnsi="宋体" w:eastAsia="宋体" w:cs="宋体"/>
          <w:b w:val="0"/>
          <w:i w:val="0"/>
          <w:caps w:val="0"/>
          <w:color w:val="000000"/>
          <w:spacing w:val="0"/>
          <w:sz w:val="21"/>
          <w:szCs w:val="21"/>
          <w:shd w:val="clear" w:fill="F9F9F9"/>
        </w:rPr>
        <w:br w:type="textWrapping"/>
      </w:r>
    </w:p>
    <w:p>
      <w:pPr>
        <w:pStyle w:val="2"/>
        <w:keepNext w:val="0"/>
        <w:keepLines w:val="0"/>
        <w:widowControl/>
        <w:suppressLineNumbers w:val="0"/>
        <w:shd w:val="clear" w:fill="F9F9F9"/>
        <w:spacing w:line="330" w:lineRule="atLeast"/>
        <w:ind w:lef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9F9F9"/>
        </w:rPr>
        <w:t>沁阳市考录工作领导小组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2016年10月8日 </w:t>
      </w:r>
    </w:p>
    <w:tbl>
      <w:tblPr>
        <w:tblW w:w="11060" w:type="dxa"/>
        <w:jc w:val="center"/>
        <w:tblCellSpacing w:w="0" w:type="dxa"/>
        <w:tblInd w:w="-136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52"/>
        <w:gridCol w:w="689"/>
        <w:gridCol w:w="856"/>
        <w:gridCol w:w="486"/>
        <w:gridCol w:w="537"/>
        <w:gridCol w:w="504"/>
        <w:gridCol w:w="470"/>
        <w:gridCol w:w="2250"/>
        <w:gridCol w:w="1467"/>
        <w:gridCol w:w="2223"/>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9" w:hRule="atLeast"/>
          <w:tblCellSpacing w:w="0" w:type="dxa"/>
          <w:jc w:val="center"/>
        </w:trPr>
        <w:tc>
          <w:tcPr>
            <w:tcW w:w="11060" w:type="dxa"/>
            <w:gridSpan w:val="11"/>
            <w:shd w:val="clear"/>
            <w:vAlign w:val="center"/>
          </w:tcPr>
          <w:p>
            <w:pPr>
              <w:keepNext w:val="0"/>
              <w:keepLines w:val="0"/>
              <w:widowControl/>
              <w:suppressLineNumbers w:val="0"/>
              <w:jc w:val="left"/>
            </w:pPr>
            <w:r>
              <w:rPr>
                <w:rStyle w:val="4"/>
                <w:rFonts w:ascii="宋体" w:hAnsi="宋体" w:eastAsia="宋体" w:cs="宋体"/>
                <w:kern w:val="0"/>
                <w:sz w:val="24"/>
                <w:szCs w:val="24"/>
                <w:lang w:val="en-US" w:eastAsia="zh-CN" w:bidi="ar"/>
              </w:rPr>
              <w:t>附件1：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8" w:hRule="atLeast"/>
          <w:tblCellSpacing w:w="0" w:type="dxa"/>
          <w:jc w:val="center"/>
        </w:trPr>
        <w:tc>
          <w:tcPr>
            <w:tcW w:w="11060" w:type="dxa"/>
            <w:gridSpan w:val="11"/>
            <w:shd w:val="clear"/>
            <w:vAlign w:val="center"/>
          </w:tcPr>
          <w:p>
            <w:pPr>
              <w:pStyle w:val="2"/>
              <w:keepNext w:val="0"/>
              <w:keepLines w:val="0"/>
              <w:widowControl/>
              <w:suppressLineNumbers w:val="0"/>
              <w:jc w:val="center"/>
            </w:pPr>
            <w:r>
              <w:rPr>
                <w:rStyle w:val="4"/>
              </w:rPr>
              <w:t>沁阳市2016年公开招聘事业单位工作人员岗位表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0" w:hRule="atLeast"/>
          <w:tblCellSpacing w:w="0" w:type="dxa"/>
          <w:jc w:val="center"/>
        </w:trPr>
        <w:tc>
          <w:tcPr>
            <w:tcW w:w="752"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  类别</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主管部门</w:t>
            </w:r>
          </w:p>
        </w:tc>
        <w:tc>
          <w:tcPr>
            <w:tcW w:w="85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w:t>
            </w:r>
          </w:p>
        </w:tc>
        <w:tc>
          <w:tcPr>
            <w:tcW w:w="48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性质</w:t>
            </w:r>
          </w:p>
        </w:tc>
        <w:tc>
          <w:tcPr>
            <w:tcW w:w="537"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岗位代码</w:t>
            </w:r>
          </w:p>
        </w:tc>
        <w:tc>
          <w:tcPr>
            <w:tcW w:w="504"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拟聘人数</w:t>
            </w:r>
          </w:p>
        </w:tc>
        <w:tc>
          <w:tcPr>
            <w:tcW w:w="470"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岗位类别</w:t>
            </w:r>
          </w:p>
        </w:tc>
        <w:tc>
          <w:tcPr>
            <w:tcW w:w="5940" w:type="dxa"/>
            <w:gridSpan w:val="3"/>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资   格   条   件</w:t>
            </w:r>
          </w:p>
        </w:tc>
        <w:tc>
          <w:tcPr>
            <w:tcW w:w="82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备  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7" w:hRule="atLeast"/>
          <w:tblCellSpacing w:w="0" w:type="dxa"/>
          <w:jc w:val="center"/>
        </w:trPr>
        <w:tc>
          <w:tcPr>
            <w:tcW w:w="752" w:type="dxa"/>
            <w:vMerge w:val="continue"/>
            <w:shd w:val="clear"/>
            <w:vAlign w:val="center"/>
          </w:tcPr>
          <w:p>
            <w:pPr>
              <w:rPr>
                <w:rFonts w:hint="eastAsia" w:ascii="宋体"/>
                <w:sz w:val="24"/>
                <w:szCs w:val="24"/>
              </w:rPr>
            </w:pP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vMerge w:val="continue"/>
            <w:shd w:val="clear"/>
            <w:vAlign w:val="center"/>
          </w:tcPr>
          <w:p>
            <w:pPr>
              <w:rPr>
                <w:rFonts w:hint="eastAsia" w:ascii="宋体"/>
                <w:sz w:val="24"/>
                <w:szCs w:val="24"/>
              </w:rPr>
            </w:pPr>
          </w:p>
        </w:tc>
        <w:tc>
          <w:tcPr>
            <w:tcW w:w="537" w:type="dxa"/>
            <w:vMerge w:val="continue"/>
            <w:shd w:val="clear"/>
            <w:vAlign w:val="center"/>
          </w:tcPr>
          <w:p>
            <w:pPr>
              <w:rPr>
                <w:rFonts w:hint="eastAsia" w:ascii="宋体"/>
                <w:sz w:val="24"/>
                <w:szCs w:val="24"/>
              </w:rPr>
            </w:pPr>
          </w:p>
        </w:tc>
        <w:tc>
          <w:tcPr>
            <w:tcW w:w="504" w:type="dxa"/>
            <w:vMerge w:val="continue"/>
            <w:shd w:val="clear"/>
            <w:vAlign w:val="center"/>
          </w:tcPr>
          <w:p>
            <w:pPr>
              <w:rPr>
                <w:rFonts w:hint="eastAsia" w:ascii="宋体"/>
                <w:sz w:val="24"/>
                <w:szCs w:val="24"/>
              </w:rPr>
            </w:pPr>
          </w:p>
        </w:tc>
        <w:tc>
          <w:tcPr>
            <w:tcW w:w="470" w:type="dxa"/>
            <w:vMerge w:val="continue"/>
            <w:shd w:val="clear"/>
            <w:vAlign w:val="center"/>
          </w:tcPr>
          <w:p>
            <w:pPr>
              <w:rPr>
                <w:rFonts w:hint="eastAsia" w:ascii="宋体"/>
                <w:sz w:val="24"/>
                <w:szCs w:val="24"/>
              </w:rPr>
            </w:pP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专业类别</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学历</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年龄</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沁阳市人才工作领导小组办公室</w:t>
            </w: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101</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计算机应用技术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102</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"http://souky.eol.cn/school_recommended.php?g&amp;code=081504"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水利水电工程、水力学及河流动力学、水工结构工程</w:t>
            </w:r>
            <w:r>
              <w:rPr>
                <w:rFonts w:ascii="宋体" w:hAnsi="宋体" w:eastAsia="宋体" w:cs="宋体"/>
                <w:kern w:val="0"/>
                <w:sz w:val="24"/>
                <w:szCs w:val="24"/>
                <w:lang w:val="en-US" w:eastAsia="zh-CN" w:bidi="ar"/>
              </w:rPr>
              <w:fldChar w:fldCharType="end"/>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103</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城市规划与设计、建筑技术科学、建筑设计及其理论、市政工程</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104</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"http://souky.eol.cn/school_recommended.php?g&amp;code=030104"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 经济法学、诉讼法学</w:t>
            </w:r>
            <w:r>
              <w:rPr>
                <w:rFonts w:ascii="宋体" w:hAnsi="宋体" w:eastAsia="宋体" w:cs="宋体"/>
                <w:kern w:val="0"/>
                <w:sz w:val="24"/>
                <w:szCs w:val="24"/>
                <w:lang w:val="en-US" w:eastAsia="zh-CN" w:bidi="ar"/>
              </w:rPr>
              <w:fldChar w:fldCharType="end"/>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105</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"http://souky.eol.cn/school_recommended.php?g&amp;code=020205"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产业经济学、国民经济学、金融学</w:t>
            </w:r>
            <w:r>
              <w:rPr>
                <w:rFonts w:ascii="宋体" w:hAnsi="宋体" w:eastAsia="宋体" w:cs="宋体"/>
                <w:kern w:val="0"/>
                <w:sz w:val="24"/>
                <w:szCs w:val="24"/>
                <w:lang w:val="en-US" w:eastAsia="zh-CN" w:bidi="ar"/>
              </w:rPr>
              <w:fldChar w:fldCharType="end"/>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106</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文艺学、艺术学、考古学及博物馆学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107</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通信与信息系统、电子与通信工程</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108</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人力资源管理、社会保障</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109</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野生动植物保护与利用</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110</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有色金属冶金</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111</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材料加工工程</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高学历人才类</w:t>
            </w:r>
          </w:p>
        </w:tc>
        <w:tc>
          <w:tcPr>
            <w:tcW w:w="689" w:type="dxa"/>
            <w:vMerge w:val="continue"/>
            <w:shd w:val="clear"/>
            <w:vAlign w:val="center"/>
          </w:tcPr>
          <w:p>
            <w:pPr>
              <w:rPr>
                <w:rFonts w:hint="eastAsia" w:ascii="宋体"/>
                <w:sz w:val="24"/>
                <w:szCs w:val="24"/>
              </w:rPr>
            </w:pP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112</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环境科学、环境工程</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沁阳市人力资源和社会保障局</w:t>
            </w:r>
          </w:p>
        </w:tc>
        <w:tc>
          <w:tcPr>
            <w:tcW w:w="85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劳动人事争议仲裁院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201</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法律类</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202</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行政管理类</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沁阳市农业局</w:t>
            </w: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动物卫生监督所</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203</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畜产品质量安全监测中心</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204</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药学类、食品类、食品科学与工程、动物科学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沁阳市城市管理局</w:t>
            </w: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城市管理局</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205</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环保类</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沁阳市食品药品监督管理局</w:t>
            </w:r>
          </w:p>
        </w:tc>
        <w:tc>
          <w:tcPr>
            <w:tcW w:w="85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食品药品检验所</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206</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207</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药学、化学、食品科学、生物工程、理化检验、信息工程等</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continue"/>
            <w:shd w:val="clear"/>
            <w:vAlign w:val="center"/>
          </w:tcPr>
          <w:p>
            <w:pPr>
              <w:rPr>
                <w:rFonts w:hint="eastAsia" w:ascii="宋体"/>
                <w:sz w:val="24"/>
                <w:szCs w:val="24"/>
              </w:rPr>
            </w:pPr>
          </w:p>
        </w:tc>
        <w:tc>
          <w:tcPr>
            <w:tcW w:w="85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食品药品监督管理局稽查大队</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208</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209</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药学、化学、食品科学、生物工程、理化检验、信息工程等</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99"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沁阳市人民政府办公室</w:t>
            </w: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电子商务发展促进中心</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210</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市场营销、计算机应用、文秘类</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沁阳市行政服务中心</w:t>
            </w: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行政服务中心网络中心</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211</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计算机类</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乡镇办事处</w:t>
            </w: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212</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沁阳市卫生和计划生育委员会</w:t>
            </w: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213</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计算机与信息技术（计算机科学与技术、网络工程、信息科学技术）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214</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计算机通信工程</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国家承认本科及以上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乡镇办事处</w:t>
            </w: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215</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国家承认大专及以上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45岁以下</w:t>
            </w:r>
          </w:p>
        </w:tc>
        <w:tc>
          <w:tcPr>
            <w:tcW w:w="82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定向招聘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覃怀办事处</w:t>
            </w:r>
          </w:p>
        </w:tc>
        <w:tc>
          <w:tcPr>
            <w:tcW w:w="856" w:type="dxa"/>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216</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国家承认中专及以上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45岁以下</w:t>
            </w:r>
          </w:p>
        </w:tc>
        <w:tc>
          <w:tcPr>
            <w:tcW w:w="82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面向驻沁阳市现役军人随军家属招聘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沁阳市卫生和计划生育委员会</w:t>
            </w: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217</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国家承认中专及以上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218</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国家承认中专及以上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219</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国家承认中专及以上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综合类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妇幼保健院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220</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管理</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不限专业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国家承认中专及以上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45岁以下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沁阳市卫生和计划生育委员会</w:t>
            </w: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301</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8"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302</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针灸、推拿</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沁阳市卫生和计划生育委员会</w:t>
            </w: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303</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医学影像学（影像学、 临床医学、放射医学）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304</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临床药学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305</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影像技术(医学影像技术）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306</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护理（护理所有专业）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307</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医学检验（医学检验学、病理检验、检验技术）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308</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中医学（中西医结合）</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309</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中医康复（康复医学、康复治疗学）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310</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医学影像学（放射医学、影像学）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311</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针灸、推拿</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312</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康复治疗技术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313</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中医护理</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314</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药剂学（药学、临床药学）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315</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中药学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316</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医学检验学（医学检验技术、检验技术）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317</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临床药学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318</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8"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319</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麻醉学（麻醉医学、临床医学）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沁阳市卫生和计划生育委员会</w:t>
            </w: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320</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康复医学（康复治疗学）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321</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医学检验学（医学检验、病理检验）</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322</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生物医学工程</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323</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医学影像学（影像学、放射医学、医学影像技术、影像技术、临床医学）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324</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烹饪工艺与营养</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325</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第二人民医院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326</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护理（护理所有专业）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西向卫生院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327</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影像技术(医学影像技术）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西向卫生院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328</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医学检验学（医学检验技术、检验技术）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西向卫生院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329</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药剂学（药学、临床药学）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西向卫生院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330</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公卫（公卫所有专业）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西向卫生院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331</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中西医结合</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常平卫生院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332</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常平卫生院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333</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护理（护理所有专业）</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国家承认大专及以上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妇幼保健院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334</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中医基础理论（中医妇科）</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硕士研究生及以上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妇幼保健院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335</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临床医学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医疗卫生类</w:t>
            </w:r>
          </w:p>
        </w:tc>
        <w:tc>
          <w:tcPr>
            <w:tcW w:w="689" w:type="dxa"/>
            <w:vMerge w:val="continue"/>
            <w:shd w:val="clear"/>
            <w:vAlign w:val="center"/>
          </w:tcPr>
          <w:p>
            <w:pPr>
              <w:rPr>
                <w:rFonts w:hint="eastAsia" w:ascii="宋体"/>
                <w:sz w:val="24"/>
                <w:szCs w:val="24"/>
              </w:rPr>
            </w:pP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妇幼保健院</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差供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336</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医学影像学（影像学）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35岁以下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725"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沁阳市教育局</w:t>
            </w:r>
          </w:p>
        </w:tc>
        <w:tc>
          <w:tcPr>
            <w:tcW w:w="85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高级中学</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401</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语文</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具备普通高中教师资格证；毕业证上专业或教师资格证认定的学科须与岗位专业一致；研究生年龄放宽至35岁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职业教育中心学校</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402</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计算机网络技术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403</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机电技术应用、电气自动化</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沁阳市教育局</w:t>
            </w:r>
          </w:p>
        </w:tc>
        <w:tc>
          <w:tcPr>
            <w:tcW w:w="85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农村初中</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404</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思想政治</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具备初中及以上教师资格证；毕业证上专业或教师资格证认定的学科须与岗位专业一致；研究生年龄放宽至35岁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405</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生物</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406</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地理</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407</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英语</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408</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信息技术</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4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409</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体育</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全日制本科及以上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农村小学</w:t>
            </w: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410</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语文</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具备小学及以上教师资格证;毕业证上专业或教师资格证认定的学科须与岗位专业一致；研究生年龄放宽至35岁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411</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数学</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4"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412</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音乐</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55" w:hRule="atLeast"/>
          <w:tblCellSpacing w:w="0" w:type="dxa"/>
          <w:jc w:val="center"/>
        </w:trPr>
        <w:tc>
          <w:tcPr>
            <w:tcW w:w="75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教育类</w:t>
            </w:r>
          </w:p>
        </w:tc>
        <w:tc>
          <w:tcPr>
            <w:tcW w:w="689" w:type="dxa"/>
            <w:vMerge w:val="continue"/>
            <w:shd w:val="clear"/>
            <w:vAlign w:val="center"/>
          </w:tcPr>
          <w:p>
            <w:pPr>
              <w:rPr>
                <w:rFonts w:hint="eastAsia" w:ascii="宋体"/>
                <w:sz w:val="24"/>
                <w:szCs w:val="24"/>
              </w:rPr>
            </w:pPr>
          </w:p>
        </w:tc>
        <w:tc>
          <w:tcPr>
            <w:tcW w:w="856" w:type="dxa"/>
            <w:vMerge w:val="continue"/>
            <w:shd w:val="clear"/>
            <w:vAlign w:val="center"/>
          </w:tcPr>
          <w:p>
            <w:pPr>
              <w:rPr>
                <w:rFonts w:hint="eastAsia" w:ascii="宋体"/>
                <w:sz w:val="24"/>
                <w:szCs w:val="24"/>
              </w:rPr>
            </w:pPr>
          </w:p>
        </w:tc>
        <w:tc>
          <w:tcPr>
            <w:tcW w:w="48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全供</w:t>
            </w:r>
          </w:p>
        </w:tc>
        <w:tc>
          <w:tcPr>
            <w:tcW w:w="53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413</w:t>
            </w:r>
          </w:p>
        </w:tc>
        <w:tc>
          <w:tcPr>
            <w:tcW w:w="50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7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专技</w:t>
            </w:r>
          </w:p>
        </w:tc>
        <w:tc>
          <w:tcPr>
            <w:tcW w:w="22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体育</w:t>
            </w:r>
          </w:p>
        </w:tc>
        <w:tc>
          <w:tcPr>
            <w:tcW w:w="1467"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全日制大专及以上</w:t>
            </w:r>
          </w:p>
        </w:tc>
        <w:tc>
          <w:tcPr>
            <w:tcW w:w="22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30岁以下</w:t>
            </w:r>
          </w:p>
        </w:tc>
        <w:tc>
          <w:tcPr>
            <w:tcW w:w="826"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84" w:hRule="atLeast"/>
          <w:tblCellSpacing w:w="0" w:type="dxa"/>
          <w:jc w:val="center"/>
        </w:trPr>
        <w:tc>
          <w:tcPr>
            <w:tcW w:w="11060" w:type="dxa"/>
            <w:gridSpan w:val="11"/>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说明：(1)报考乡镇办事处事业单位定向招聘的，须是服务期满且考核合格的参加国家志愿服务西部计划和河南省志愿服务贫困县计划的沁阳籍毕业生（提供户口本和证书原件复印件）；下派到沁阳市服务期满考核合格的“三支一扶”大学生（提供证书原件和复印件）；参加“沁阳市高校毕业生进社区服务”计划的大学生（提供证书原件和复印件）；截止2016年10月在岗、连续任职3年以上、历年年度考核均为称职以上的沁阳市大学生村干部（提供沁阳市大学生村干部管理工作办公室的证明）；(2)报考面向驻沁阳市现役军人随军家属（经军队师、旅级以上单位政治机关批准，并办理随军手续的现役军人配偶）招聘岗位的，须提供沁阳市军队转业干部工作办公室的证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94" w:hRule="atLeast"/>
          <w:tblCellSpacing w:w="0" w:type="dxa"/>
          <w:jc w:val="center"/>
        </w:trPr>
        <w:tc>
          <w:tcPr>
            <w:tcW w:w="11060" w:type="dxa"/>
            <w:gridSpan w:val="11"/>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共招聘168人，每人限报一个岗位。</w:t>
            </w:r>
          </w:p>
        </w:tc>
      </w:tr>
    </w:tbl>
    <w:p>
      <w:pPr>
        <w:pStyle w:val="2"/>
        <w:keepNext w:val="0"/>
        <w:keepLines w:val="0"/>
        <w:widowControl/>
        <w:suppressLineNumbers w:val="0"/>
        <w:shd w:val="clear" w:fill="F9F9F9"/>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spacing w:val="0"/>
          <w:sz w:val="21"/>
          <w:szCs w:val="21"/>
          <w:shd w:val="clear" w:fill="F9F9F9"/>
        </w:rPr>
        <w:fldChar w:fldCharType="begin"/>
      </w:r>
      <w:r>
        <w:rPr>
          <w:rFonts w:hint="eastAsia" w:ascii="宋体" w:hAnsi="宋体" w:eastAsia="宋体" w:cs="宋体"/>
          <w:b w:val="0"/>
          <w:i w:val="0"/>
          <w:caps w:val="0"/>
          <w:spacing w:val="0"/>
          <w:sz w:val="21"/>
          <w:szCs w:val="21"/>
          <w:shd w:val="clear" w:fill="F9F9F9"/>
        </w:rPr>
        <w:instrText xml:space="preserve"> HYPERLINK "http://qinyang.gov.cn/dvhttp/UploadFile/2016101317561608.xls" \t "http://www.qinyang.gov.cn/xxgk/_blank" </w:instrText>
      </w:r>
      <w:r>
        <w:rPr>
          <w:rFonts w:hint="eastAsia" w:ascii="宋体" w:hAnsi="宋体" w:eastAsia="宋体" w:cs="宋体"/>
          <w:b w:val="0"/>
          <w:i w:val="0"/>
          <w:caps w:val="0"/>
          <w:spacing w:val="0"/>
          <w:sz w:val="21"/>
          <w:szCs w:val="21"/>
          <w:shd w:val="clear" w:fill="F9F9F9"/>
        </w:rPr>
        <w:fldChar w:fldCharType="separate"/>
      </w:r>
      <w:r>
        <w:rPr>
          <w:rStyle w:val="5"/>
          <w:rFonts w:hint="eastAsia" w:ascii="宋体" w:hAnsi="宋体" w:eastAsia="宋体" w:cs="宋体"/>
          <w:b w:val="0"/>
          <w:i w:val="0"/>
          <w:caps w:val="0"/>
          <w:spacing w:val="0"/>
          <w:sz w:val="21"/>
          <w:szCs w:val="21"/>
          <w:shd w:val="clear" w:fill="F9F9F9"/>
        </w:rPr>
        <w:t>附件1：</w:t>
      </w:r>
      <w:r>
        <w:rPr>
          <w:rFonts w:hint="eastAsia" w:ascii="宋体" w:hAnsi="宋体" w:eastAsia="宋体" w:cs="宋体"/>
          <w:b w:val="0"/>
          <w:i w:val="0"/>
          <w:caps w:val="0"/>
          <w:spacing w:val="0"/>
          <w:sz w:val="21"/>
          <w:szCs w:val="21"/>
          <w:shd w:val="clear" w:fill="F9F9F9"/>
        </w:rPr>
        <w:fldChar w:fldCharType="end"/>
      </w:r>
      <w:r>
        <w:rPr>
          <w:rFonts w:hint="eastAsia" w:ascii="宋体" w:hAnsi="宋体" w:eastAsia="宋体" w:cs="宋体"/>
          <w:b w:val="0"/>
          <w:i w:val="0"/>
          <w:caps w:val="0"/>
          <w:color w:val="000000"/>
          <w:spacing w:val="0"/>
          <w:sz w:val="21"/>
          <w:szCs w:val="21"/>
          <w:shd w:val="clear" w:fill="F9F9F9"/>
        </w:rPr>
        <w:t> </w:t>
      </w:r>
      <w:bookmarkStart w:id="0" w:name="_GoBack"/>
      <w:bookmarkEnd w:id="0"/>
      <w:r>
        <w:rPr>
          <w:rFonts w:hint="eastAsia" w:ascii="宋体" w:hAnsi="宋体" w:eastAsia="宋体" w:cs="宋体"/>
          <w:b w:val="0"/>
          <w:i w:val="0"/>
          <w:caps w:val="0"/>
          <w:spacing w:val="0"/>
          <w:sz w:val="21"/>
          <w:szCs w:val="21"/>
          <w:shd w:val="clear" w:fill="F9F9F9"/>
        </w:rPr>
        <w:fldChar w:fldCharType="begin"/>
      </w:r>
      <w:r>
        <w:rPr>
          <w:rFonts w:hint="eastAsia" w:ascii="宋体" w:hAnsi="宋体" w:eastAsia="宋体" w:cs="宋体"/>
          <w:b w:val="0"/>
          <w:i w:val="0"/>
          <w:caps w:val="0"/>
          <w:spacing w:val="0"/>
          <w:sz w:val="21"/>
          <w:szCs w:val="21"/>
          <w:shd w:val="clear" w:fill="F9F9F9"/>
        </w:rPr>
        <w:instrText xml:space="preserve"> HYPERLINK "http://www.qinyang.gov.cn/dvhttp/UploadFile/2016101785627766.xls" \t "http://www.qinyang.gov.cn/xxgk/_blank" </w:instrText>
      </w:r>
      <w:r>
        <w:rPr>
          <w:rFonts w:hint="eastAsia" w:ascii="宋体" w:hAnsi="宋体" w:eastAsia="宋体" w:cs="宋体"/>
          <w:b w:val="0"/>
          <w:i w:val="0"/>
          <w:caps w:val="0"/>
          <w:spacing w:val="0"/>
          <w:sz w:val="21"/>
          <w:szCs w:val="21"/>
          <w:shd w:val="clear" w:fill="F9F9F9"/>
        </w:rPr>
        <w:fldChar w:fldCharType="separate"/>
      </w:r>
      <w:r>
        <w:rPr>
          <w:rStyle w:val="5"/>
          <w:rFonts w:hint="eastAsia" w:ascii="宋体" w:hAnsi="宋体" w:eastAsia="宋体" w:cs="宋体"/>
          <w:b w:val="0"/>
          <w:i w:val="0"/>
          <w:caps w:val="0"/>
          <w:spacing w:val="0"/>
          <w:sz w:val="21"/>
          <w:szCs w:val="21"/>
          <w:shd w:val="clear" w:fill="F9F9F9"/>
        </w:rPr>
        <w:t>沁阳市2016年公开招聘事业单位工作人员岗位表 表格下载 - .xls</w:t>
      </w:r>
      <w:r>
        <w:rPr>
          <w:rFonts w:hint="eastAsia" w:ascii="宋体" w:hAnsi="宋体" w:eastAsia="宋体" w:cs="宋体"/>
          <w:b w:val="0"/>
          <w:i w:val="0"/>
          <w:caps w:val="0"/>
          <w:spacing w:val="0"/>
          <w:sz w:val="21"/>
          <w:szCs w:val="21"/>
          <w:shd w:val="clear" w:fill="F9F9F9"/>
        </w:rPr>
        <w:fldChar w:fldCharType="end"/>
      </w:r>
    </w:p>
    <w:tbl>
      <w:tblPr>
        <w:tblW w:w="11459" w:type="dxa"/>
        <w:jc w:val="center"/>
        <w:tblCellSpacing w:w="0" w:type="dxa"/>
        <w:tblInd w:w="-156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020"/>
        <w:gridCol w:w="4916"/>
        <w:gridCol w:w="45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16" w:hRule="atLeast"/>
          <w:tblCellSpacing w:w="0" w:type="dxa"/>
          <w:jc w:val="center"/>
        </w:trPr>
        <w:tc>
          <w:tcPr>
            <w:tcW w:w="2020" w:type="dxa"/>
            <w:shd w:val="clear"/>
            <w:vAlign w:val="center"/>
          </w:tcPr>
          <w:p>
            <w:pPr>
              <w:keepNext w:val="0"/>
              <w:keepLines w:val="0"/>
              <w:widowControl/>
              <w:suppressLineNumbers w:val="0"/>
              <w:jc w:val="left"/>
            </w:pPr>
            <w:r>
              <w:rPr>
                <w:rStyle w:val="4"/>
                <w:rFonts w:ascii="宋体" w:hAnsi="宋体" w:eastAsia="宋体" w:cs="宋体"/>
                <w:kern w:val="0"/>
                <w:sz w:val="24"/>
                <w:szCs w:val="24"/>
                <w:lang w:val="en-US" w:eastAsia="zh-CN" w:bidi="ar"/>
              </w:rPr>
              <w:t>附件2：</w:t>
            </w:r>
          </w:p>
        </w:tc>
        <w:tc>
          <w:tcPr>
            <w:tcW w:w="4916" w:type="dxa"/>
            <w:shd w:val="clear"/>
            <w:vAlign w:val="center"/>
          </w:tcPr>
          <w:p>
            <w:pPr>
              <w:rPr>
                <w:rFonts w:hint="eastAsia" w:ascii="宋体"/>
                <w:sz w:val="24"/>
                <w:szCs w:val="24"/>
              </w:rPr>
            </w:pPr>
          </w:p>
        </w:tc>
        <w:tc>
          <w:tcPr>
            <w:tcW w:w="4523"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tblCellSpacing w:w="0" w:type="dxa"/>
          <w:jc w:val="center"/>
        </w:trPr>
        <w:tc>
          <w:tcPr>
            <w:tcW w:w="11459" w:type="dxa"/>
            <w:gridSpan w:val="3"/>
            <w:shd w:val="clear"/>
            <w:vAlign w:val="center"/>
          </w:tcPr>
          <w:p>
            <w:pPr>
              <w:pStyle w:val="2"/>
              <w:keepNext w:val="0"/>
              <w:keepLines w:val="0"/>
              <w:widowControl/>
              <w:suppressLineNumbers w:val="0"/>
              <w:jc w:val="center"/>
            </w:pPr>
            <w:r>
              <w:rPr>
                <w:rStyle w:val="4"/>
              </w:rPr>
              <w:t>定向招聘乡镇（办事处）事业单位工作人员分配名额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序号</w:t>
            </w:r>
          </w:p>
        </w:tc>
        <w:tc>
          <w:tcPr>
            <w:tcW w:w="491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w:t>
            </w:r>
          </w:p>
        </w:tc>
        <w:tc>
          <w:tcPr>
            <w:tcW w:w="45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拟聘人数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91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常平乡</w:t>
            </w:r>
          </w:p>
        </w:tc>
        <w:tc>
          <w:tcPr>
            <w:tcW w:w="45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91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王曲乡</w:t>
            </w:r>
          </w:p>
        </w:tc>
        <w:tc>
          <w:tcPr>
            <w:tcW w:w="45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91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崇义镇</w:t>
            </w:r>
          </w:p>
        </w:tc>
        <w:tc>
          <w:tcPr>
            <w:tcW w:w="45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91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柏香镇</w:t>
            </w:r>
          </w:p>
        </w:tc>
        <w:tc>
          <w:tcPr>
            <w:tcW w:w="45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491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紫陵镇</w:t>
            </w:r>
          </w:p>
        </w:tc>
        <w:tc>
          <w:tcPr>
            <w:tcW w:w="45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491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西向镇</w:t>
            </w:r>
          </w:p>
        </w:tc>
        <w:tc>
          <w:tcPr>
            <w:tcW w:w="45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491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西万镇</w:t>
            </w:r>
          </w:p>
        </w:tc>
        <w:tc>
          <w:tcPr>
            <w:tcW w:w="45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491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山王庄镇</w:t>
            </w:r>
          </w:p>
        </w:tc>
        <w:tc>
          <w:tcPr>
            <w:tcW w:w="45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330" w:hRule="atLeast"/>
          <w:tblCellSpacing w:w="0" w:type="dxa"/>
          <w:jc w:val="center"/>
        </w:trPr>
        <w:tc>
          <w:tcPr>
            <w:tcW w:w="6936" w:type="dxa"/>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合计</w:t>
            </w:r>
          </w:p>
        </w:tc>
        <w:tc>
          <w:tcPr>
            <w:tcW w:w="452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16</w:t>
            </w:r>
          </w:p>
        </w:tc>
      </w:tr>
    </w:tbl>
    <w:p>
      <w:pPr>
        <w:rPr>
          <w:vanish/>
          <w:sz w:val="24"/>
          <w:szCs w:val="24"/>
        </w:rPr>
      </w:pPr>
    </w:p>
    <w:tbl>
      <w:tblPr>
        <w:tblW w:w="11473" w:type="dxa"/>
        <w:jc w:val="center"/>
        <w:tblCellSpacing w:w="0" w:type="dxa"/>
        <w:tblInd w:w="-156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022"/>
        <w:gridCol w:w="4922"/>
        <w:gridCol w:w="45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6" w:hRule="atLeast"/>
          <w:tblCellSpacing w:w="0" w:type="dxa"/>
          <w:jc w:val="center"/>
        </w:trPr>
        <w:tc>
          <w:tcPr>
            <w:tcW w:w="2022" w:type="dxa"/>
            <w:shd w:val="clear"/>
            <w:vAlign w:val="center"/>
          </w:tcPr>
          <w:p>
            <w:pPr>
              <w:keepNext w:val="0"/>
              <w:keepLines w:val="0"/>
              <w:widowControl/>
              <w:suppressLineNumbers w:val="0"/>
              <w:jc w:val="left"/>
            </w:pPr>
            <w:r>
              <w:rPr>
                <w:rStyle w:val="4"/>
                <w:rFonts w:ascii="宋体" w:hAnsi="宋体" w:eastAsia="宋体" w:cs="宋体"/>
                <w:kern w:val="0"/>
                <w:sz w:val="24"/>
                <w:szCs w:val="24"/>
                <w:lang w:val="en-US" w:eastAsia="zh-CN" w:bidi="ar"/>
              </w:rPr>
              <w:t>附件3：</w:t>
            </w:r>
          </w:p>
        </w:tc>
        <w:tc>
          <w:tcPr>
            <w:tcW w:w="4922" w:type="dxa"/>
            <w:shd w:val="clear"/>
            <w:vAlign w:val="center"/>
          </w:tcPr>
          <w:p>
            <w:pPr>
              <w:rPr>
                <w:rFonts w:hint="eastAsia" w:ascii="宋体"/>
                <w:sz w:val="24"/>
                <w:szCs w:val="24"/>
              </w:rPr>
            </w:pPr>
          </w:p>
        </w:tc>
        <w:tc>
          <w:tcPr>
            <w:tcW w:w="4529" w:type="dxa"/>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11473" w:type="dxa"/>
            <w:gridSpan w:val="3"/>
            <w:shd w:val="clear"/>
            <w:vAlign w:val="center"/>
          </w:tcPr>
          <w:p>
            <w:pPr>
              <w:pStyle w:val="2"/>
              <w:keepNext w:val="0"/>
              <w:keepLines w:val="0"/>
              <w:widowControl/>
              <w:suppressLineNumbers w:val="0"/>
              <w:jc w:val="center"/>
            </w:pPr>
            <w:r>
              <w:rPr>
                <w:rStyle w:val="4"/>
              </w:rPr>
              <w:t>公开招聘乡镇（办事处）事业单位工作人员分配名额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序号</w:t>
            </w:r>
          </w:p>
        </w:tc>
        <w:tc>
          <w:tcPr>
            <w:tcW w:w="49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w:t>
            </w:r>
          </w:p>
        </w:tc>
        <w:tc>
          <w:tcPr>
            <w:tcW w:w="45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拟聘人数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49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王召乡</w:t>
            </w:r>
          </w:p>
        </w:tc>
        <w:tc>
          <w:tcPr>
            <w:tcW w:w="45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49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怀庆办事处</w:t>
            </w:r>
          </w:p>
        </w:tc>
        <w:tc>
          <w:tcPr>
            <w:tcW w:w="45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49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覃怀办事处</w:t>
            </w:r>
          </w:p>
        </w:tc>
        <w:tc>
          <w:tcPr>
            <w:tcW w:w="45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49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太行办事处</w:t>
            </w:r>
          </w:p>
        </w:tc>
        <w:tc>
          <w:tcPr>
            <w:tcW w:w="45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20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492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沁园办事处</w:t>
            </w:r>
          </w:p>
        </w:tc>
        <w:tc>
          <w:tcPr>
            <w:tcW w:w="45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30" w:hRule="atLeast"/>
          <w:tblCellSpacing w:w="0" w:type="dxa"/>
          <w:jc w:val="center"/>
        </w:trPr>
        <w:tc>
          <w:tcPr>
            <w:tcW w:w="6944" w:type="dxa"/>
            <w:gridSpan w:val="2"/>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合计</w:t>
            </w:r>
          </w:p>
        </w:tc>
        <w:tc>
          <w:tcPr>
            <w:tcW w:w="4529"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r>
    </w:tbl>
    <w:p>
      <w:pPr>
        <w:pStyle w:val="2"/>
        <w:keepNext w:val="0"/>
        <w:keepLines w:val="0"/>
        <w:widowControl/>
        <w:suppressLineNumbers w:val="0"/>
        <w:shd w:val="clear" w:fill="F9F9F9"/>
        <w:spacing w:line="33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9F9F9"/>
        </w:rPr>
        <w:t>附件4：</w:t>
      </w:r>
      <w:r>
        <w:rPr>
          <w:rStyle w:val="4"/>
          <w:rFonts w:hint="eastAsia" w:ascii="宋体" w:hAnsi="宋体" w:eastAsia="宋体" w:cs="宋体"/>
          <w:i w:val="0"/>
          <w:caps w:val="0"/>
          <w:color w:val="000000"/>
          <w:spacing w:val="0"/>
          <w:sz w:val="21"/>
          <w:szCs w:val="21"/>
          <w:shd w:val="clear" w:fill="F9F9F9"/>
        </w:rPr>
        <w:fldChar w:fldCharType="begin"/>
      </w:r>
      <w:r>
        <w:rPr>
          <w:rStyle w:val="4"/>
          <w:rFonts w:hint="eastAsia" w:ascii="宋体" w:hAnsi="宋体" w:eastAsia="宋体" w:cs="宋体"/>
          <w:i w:val="0"/>
          <w:caps w:val="0"/>
          <w:color w:val="000000"/>
          <w:spacing w:val="0"/>
          <w:sz w:val="21"/>
          <w:szCs w:val="21"/>
          <w:shd w:val="clear" w:fill="F9F9F9"/>
        </w:rPr>
        <w:instrText xml:space="preserve">INCLUDEPICTURE \d "http://www.qinyang.gov.cn/dvhttp/UploadFile/201610178578784.gif" \* MERGEFORMATINET </w:instrText>
      </w:r>
      <w:r>
        <w:rPr>
          <w:rStyle w:val="4"/>
          <w:rFonts w:hint="eastAsia" w:ascii="宋体" w:hAnsi="宋体" w:eastAsia="宋体" w:cs="宋体"/>
          <w:i w:val="0"/>
          <w:caps w:val="0"/>
          <w:color w:val="000000"/>
          <w:spacing w:val="0"/>
          <w:sz w:val="21"/>
          <w:szCs w:val="21"/>
          <w:shd w:val="clear" w:fill="F9F9F9"/>
        </w:rPr>
        <w:fldChar w:fldCharType="separate"/>
      </w:r>
      <w:r>
        <w:rPr>
          <w:rStyle w:val="4"/>
          <w:rFonts w:hint="eastAsia" w:ascii="宋体" w:hAnsi="宋体" w:eastAsia="宋体" w:cs="宋体"/>
          <w:i w:val="0"/>
          <w:caps w:val="0"/>
          <w:color w:val="000000"/>
          <w:spacing w:val="0"/>
          <w:sz w:val="21"/>
          <w:szCs w:val="21"/>
          <w:shd w:val="clear" w:fill="F9F9F9"/>
        </w:rPr>
        <w:drawing>
          <wp:inline distT="0" distB="0" distL="114300" distR="114300">
            <wp:extent cx="171450" cy="1714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71450" cy="171450"/>
                    </a:xfrm>
                    <a:prstGeom prst="rect">
                      <a:avLst/>
                    </a:prstGeom>
                    <a:noFill/>
                    <a:ln w="9525">
                      <a:noFill/>
                    </a:ln>
                  </pic:spPr>
                </pic:pic>
              </a:graphicData>
            </a:graphic>
          </wp:inline>
        </w:drawing>
      </w:r>
      <w:r>
        <w:rPr>
          <w:rStyle w:val="4"/>
          <w:rFonts w:hint="eastAsia" w:ascii="宋体" w:hAnsi="宋体" w:eastAsia="宋体" w:cs="宋体"/>
          <w:i w:val="0"/>
          <w:caps w:val="0"/>
          <w:color w:val="000000"/>
          <w:spacing w:val="0"/>
          <w:sz w:val="21"/>
          <w:szCs w:val="21"/>
          <w:shd w:val="clear" w:fill="F9F9F9"/>
        </w:rPr>
        <w:fldChar w:fldCharType="end"/>
      </w:r>
      <w:r>
        <w:rPr>
          <w:rStyle w:val="4"/>
          <w:rFonts w:hint="eastAsia" w:ascii="宋体" w:hAnsi="宋体" w:eastAsia="宋体" w:cs="宋体"/>
          <w:i w:val="0"/>
          <w:caps w:val="0"/>
          <w:spacing w:val="0"/>
          <w:sz w:val="21"/>
          <w:szCs w:val="21"/>
          <w:shd w:val="clear" w:fill="F9F9F9"/>
        </w:rPr>
        <w:fldChar w:fldCharType="begin"/>
      </w:r>
      <w:r>
        <w:rPr>
          <w:rStyle w:val="4"/>
          <w:rFonts w:hint="eastAsia" w:ascii="宋体" w:hAnsi="宋体" w:eastAsia="宋体" w:cs="宋体"/>
          <w:i w:val="0"/>
          <w:caps w:val="0"/>
          <w:spacing w:val="0"/>
          <w:sz w:val="21"/>
          <w:szCs w:val="21"/>
          <w:shd w:val="clear" w:fill="F9F9F9"/>
        </w:rPr>
        <w:instrText xml:space="preserve"> HYPERLINK "http://qinyang.gov.cn/dvhttp/UploadFile/20161013174240606.xls" \t "http://www.qinyang.gov.cn/xxgk/_blank" </w:instrText>
      </w:r>
      <w:r>
        <w:rPr>
          <w:rStyle w:val="4"/>
          <w:rFonts w:hint="eastAsia" w:ascii="宋体" w:hAnsi="宋体" w:eastAsia="宋体" w:cs="宋体"/>
          <w:i w:val="0"/>
          <w:caps w:val="0"/>
          <w:spacing w:val="0"/>
          <w:sz w:val="21"/>
          <w:szCs w:val="21"/>
          <w:shd w:val="clear" w:fill="F9F9F9"/>
        </w:rPr>
        <w:fldChar w:fldCharType="separate"/>
      </w:r>
      <w:r>
        <w:rPr>
          <w:rStyle w:val="5"/>
          <w:rFonts w:hint="eastAsia" w:ascii="宋体" w:hAnsi="宋体" w:eastAsia="宋体" w:cs="宋体"/>
          <w:i w:val="0"/>
          <w:caps w:val="0"/>
          <w:spacing w:val="0"/>
          <w:sz w:val="21"/>
          <w:szCs w:val="21"/>
          <w:shd w:val="clear" w:fill="F9F9F9"/>
        </w:rPr>
        <w:t>沁阳市2016年公开招聘事业单位工作人员报名登记表 表格下载.xls</w:t>
      </w:r>
      <w:r>
        <w:rPr>
          <w:rStyle w:val="4"/>
          <w:rFonts w:hint="eastAsia" w:ascii="宋体" w:hAnsi="宋体" w:eastAsia="宋体" w:cs="宋体"/>
          <w:i w:val="0"/>
          <w:caps w:val="0"/>
          <w:spacing w:val="0"/>
          <w:sz w:val="21"/>
          <w:szCs w:val="21"/>
          <w:shd w:val="clear" w:fill="F9F9F9"/>
        </w:rPr>
        <w:fldChar w:fldCharType="end"/>
      </w:r>
    </w:p>
    <w:p>
      <w:pPr>
        <w:pStyle w:val="2"/>
        <w:keepNext w:val="0"/>
        <w:keepLines w:val="0"/>
        <w:widowControl/>
        <w:suppressLineNumbers w:val="0"/>
        <w:shd w:val="clear" w:fill="F9F9F9"/>
        <w:spacing w:line="33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9F9F9"/>
        </w:rPr>
        <w:t>附件5：</w:t>
      </w:r>
    </w:p>
    <w:p>
      <w:pPr>
        <w:pStyle w:val="2"/>
        <w:keepNext w:val="0"/>
        <w:keepLines w:val="0"/>
        <w:widowControl/>
        <w:suppressLineNumbers w:val="0"/>
        <w:shd w:val="clear" w:fill="F9F9F9"/>
        <w:spacing w:line="33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9F9F9"/>
        </w:rPr>
        <w:t>二次平均法</w:t>
      </w:r>
    </w:p>
    <w:p>
      <w:pPr>
        <w:pStyle w:val="2"/>
        <w:keepNext w:val="0"/>
        <w:keepLines w:val="0"/>
        <w:widowControl/>
        <w:suppressLineNumbers w:val="0"/>
        <w:shd w:val="clear" w:fill="F9F9F9"/>
        <w:spacing w:line="330" w:lineRule="atLeast"/>
        <w:ind w:lef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9F9F9"/>
        </w:rPr>
        <w:t>　　一、根据在不同面试组参加面试的竞争同一职位应试者的面试原始成绩，计算出每个面试组的面试平均成绩（A1、A2、A3……AN）。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二、将各面试组的平均成绩进行二次平均，计算出所有面试组的总平均成绩（R）。即：（A1+A2+A3+……+AN）÷N=R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三、用总平均成绩（R）除以有关面试组的平均成绩（AN）得出该面试组的加权系数（X）。即：R÷AN =XN </w:t>
      </w:r>
      <w:r>
        <w:rPr>
          <w:rFonts w:hint="eastAsia" w:ascii="宋体" w:hAnsi="宋体" w:eastAsia="宋体" w:cs="宋体"/>
          <w:b w:val="0"/>
          <w:i w:val="0"/>
          <w:caps w:val="0"/>
          <w:color w:val="000000"/>
          <w:spacing w:val="0"/>
          <w:sz w:val="21"/>
          <w:szCs w:val="21"/>
          <w:shd w:val="clear" w:fill="F9F9F9"/>
        </w:rPr>
        <w:br w:type="textWrapping"/>
      </w:r>
      <w:r>
        <w:rPr>
          <w:rFonts w:hint="eastAsia" w:ascii="宋体" w:hAnsi="宋体" w:eastAsia="宋体" w:cs="宋体"/>
          <w:b w:val="0"/>
          <w:i w:val="0"/>
          <w:caps w:val="0"/>
          <w:color w:val="000000"/>
          <w:spacing w:val="0"/>
          <w:sz w:val="21"/>
          <w:szCs w:val="21"/>
          <w:shd w:val="clear" w:fill="F9F9F9"/>
        </w:rPr>
        <w:t>　　四、应试者面试成绩为面试原始成绩乘以本面试组的加权系数，即：应试者面试成绩=面试原始成绩×XN。</w:t>
      </w:r>
    </w:p>
    <w:p>
      <w:pPr>
        <w:rPr>
          <w:rFonts w:ascii="宋体" w:hAnsi="宋体" w:eastAsia="宋体" w:cs="宋体"/>
          <w:b/>
          <w:i w:val="0"/>
          <w:caps w:val="0"/>
          <w:color w:val="2677C8"/>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84AD7"/>
    <w:rsid w:val="58F84A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2016-10-18T02:56:00Z</dcterms:created>
  <dc:creator>Administrator</dc:creator>
  <cp:lastModifiedBy>Administrator</cp:lastModifiedBy>
  <dcterms:modified xsi:type="dcterms:W3CDTF">2016-10-18T03:08:15Z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