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3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99"/>
        <w:gridCol w:w="966"/>
        <w:gridCol w:w="1039"/>
        <w:gridCol w:w="966"/>
        <w:gridCol w:w="1226"/>
        <w:gridCol w:w="2637"/>
        <w:gridCol w:w="892"/>
        <w:gridCol w:w="132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983" w:type="dxa"/>
            <w:gridSpan w:val="9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4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财政局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A1001</w:t>
            </w: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18"/>
                <w:bdr w:val="none" w:color="auto" w:sz="0" w:space="0"/>
              </w:rPr>
              <w:t>会计学、财务管理、审计学、资产评估、财政学、金融学、金融工程、经济与金融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报财会具有会计从业资格证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农牧局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差额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A1002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农产品质量与安全、农产品储运与加工教育、农学、园艺、植物科学与技术、植物保护、动物医学、动植物检疫、水产养殖学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林业局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差额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A1003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林学、园林、森林保护、森林工程、木材科学与工程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林业局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差额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A1004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林学、园林、森林保护、森林工程、木材科学与工程、资源环境与城市管理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服务基层四项目人员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水务局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差额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A1005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水利水电工程、水文与水资源工程、水务工程、给排水工程、给排水科学与工程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广播电视台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B1006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播音与主持艺术、新闻学、广播电视学、广播电视新闻学、传播学、汉语言文学、汉语言应用语言学、中国语言文化、文秘教育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男女各一人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普通话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一级乙证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jc w:val="right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0B5453CE"/>
    <w:rsid w:val="0DE077E3"/>
    <w:rsid w:val="19455F85"/>
    <w:rsid w:val="1D493B4C"/>
    <w:rsid w:val="21292B3C"/>
    <w:rsid w:val="2AF35A25"/>
    <w:rsid w:val="2C584E3F"/>
    <w:rsid w:val="2DD1294E"/>
    <w:rsid w:val="2E841D14"/>
    <w:rsid w:val="36155AB1"/>
    <w:rsid w:val="36580BCE"/>
    <w:rsid w:val="39BB5A76"/>
    <w:rsid w:val="3BA415E8"/>
    <w:rsid w:val="3C6461A3"/>
    <w:rsid w:val="4BE833E0"/>
    <w:rsid w:val="4D344438"/>
    <w:rsid w:val="51A84C61"/>
    <w:rsid w:val="524E2E97"/>
    <w:rsid w:val="55ED57FF"/>
    <w:rsid w:val="59B02AD1"/>
    <w:rsid w:val="59BD30B8"/>
    <w:rsid w:val="600A0A13"/>
    <w:rsid w:val="62A46863"/>
    <w:rsid w:val="764B7583"/>
    <w:rsid w:val="77676710"/>
    <w:rsid w:val="7E3E1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2016-11-03T05:58:00Z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