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531" w:type="dxa"/>
        <w:jc w:val="center"/>
        <w:tblCellSpacing w:w="0" w:type="dxa"/>
        <w:tblInd w:w="-159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82"/>
        <w:gridCol w:w="494"/>
        <w:gridCol w:w="1123"/>
        <w:gridCol w:w="554"/>
        <w:gridCol w:w="704"/>
        <w:gridCol w:w="1872"/>
        <w:gridCol w:w="2321"/>
        <w:gridCol w:w="2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11531" w:type="dxa"/>
            <w:gridSpan w:val="8"/>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bookmarkStart w:id="0" w:name="_GoBack"/>
            <w:r>
              <w:rPr>
                <w:rFonts w:ascii="宋体" w:hAnsi="宋体" w:eastAsia="宋体" w:cs="宋体"/>
                <w:kern w:val="0"/>
                <w:sz w:val="24"/>
                <w:szCs w:val="24"/>
                <w:lang w:val="en-US" w:eastAsia="zh-CN" w:bidi="ar"/>
              </w:rPr>
              <w:t xml:space="preserve"> 2017年成都市双流区卫计系统公开招聘事业单位工作人员岗位表</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jc w:val="center"/>
        </w:trPr>
        <w:tc>
          <w:tcPr>
            <w:tcW w:w="178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招聘单位</w:t>
            </w:r>
          </w:p>
        </w:tc>
        <w:tc>
          <w:tcPr>
            <w:tcW w:w="4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 总数</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招聘岗位</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招聘人数</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岗位代码</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专业条件</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学历及学位要求</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双流区第一人民医院</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超声科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03001</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医学影像学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本科学历须取得规培证和执业医师资格证。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2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03002</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取得主治医师及以上职称。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药剂科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03003</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药学、药剂学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03004</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内科学（呼吸内科学）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取得主治医师及以上职称。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双流区中医医院</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外科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03005</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外科学（泌尿外科学或胸外学或脑外科学或普外科学）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取得规培证或执业医师资格证。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急诊科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03006</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临床医学、急诊医学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本科学历须取得规培证；硕士研究生及以上学历须取得规培证或执业医师资格证。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妇产科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03007</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临床医学、妇产科学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本科学历临床医学专业须在取得执业医师资格证后注册为妇产科专业；硕士研究生学历须取得规培证或执业医师资格证。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0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03008</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本科学历临床医学专业须在取得执业医师资格证后注册为儿科专业；硕士研究生学历须取得规培证或执业医师资格证。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药剂科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03009</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药理学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0"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双流区妇幼保健院</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03010</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本科学历临床医学专业须在取得执业医师资格证后注册为儿科专业。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妇产科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03011</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临床医学、妇产科学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本科学历须在取得执业医师资格证后注册为妇产科专业。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药剂科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03012</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药剂学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双流区东升社区卫生服务中心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中医科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03013</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中医骨伤</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03014</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双流区公兴社区卫生服务中心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03015</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临床医学、内科学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03016</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本科学历临床医学专业须在取得执业医师资格证后注册为儿科专业。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精神病科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03017</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临床医学、精神医学、精神病与精神卫生学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本科学历临床医学专业须在取得执业医师资格证后注册为精神病科专业。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40"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双流区西航港社区卫生服务中心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03018</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本科学历临床医学专业须取得规培证，并在取得执业医师资格证后注册为儿科专业，未参加规培的须取得主治医师及以上职称；硕士研究生及以上学历须取得执业医师资格证。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中医科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03019</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中西医结合临床（急诊、心血管、内分泌方向）</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皮肤与性病科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03020</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皮肤与性病学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双流区九江社区卫生服务中心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儿科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03021</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临床医学、临床医学儿科学方向、儿科学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取得执业（助理）医师资格。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03022</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临床医学、内科学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双流区协和社区卫生服务中心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03023</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临床医学、内科学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取得执业（助理）医师资格。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口腔科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03024</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口腔医学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取得执业（助理）医师资格。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178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双流区黄甲社区卫生服务中心</w:t>
            </w:r>
          </w:p>
        </w:tc>
        <w:tc>
          <w:tcPr>
            <w:tcW w:w="4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中医科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03025</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中医妇科学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1782" w:type="dxa"/>
            <w:vMerge w:val="continue"/>
            <w:shd w:val="clear"/>
            <w:vAlign w:val="center"/>
          </w:tcPr>
          <w:p>
            <w:pPr>
              <w:jc w:val="center"/>
              <w:rPr>
                <w:rFonts w:hint="eastAsia" w:ascii="宋体"/>
                <w:sz w:val="24"/>
                <w:szCs w:val="24"/>
              </w:rPr>
            </w:pPr>
          </w:p>
        </w:tc>
        <w:tc>
          <w:tcPr>
            <w:tcW w:w="494" w:type="dxa"/>
            <w:vMerge w:val="continue"/>
            <w:shd w:val="clear"/>
            <w:vAlign w:val="center"/>
          </w:tcPr>
          <w:p>
            <w:pPr>
              <w:jc w:val="center"/>
              <w:rPr>
                <w:rFonts w:hint="eastAsia" w:ascii="宋体"/>
                <w:sz w:val="24"/>
                <w:szCs w:val="24"/>
              </w:rPr>
            </w:pPr>
          </w:p>
        </w:tc>
        <w:tc>
          <w:tcPr>
            <w:tcW w:w="11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内科</w:t>
            </w:r>
          </w:p>
        </w:tc>
        <w:tc>
          <w:tcPr>
            <w:tcW w:w="55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0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03026</w:t>
            </w:r>
          </w:p>
        </w:tc>
        <w:tc>
          <w:tcPr>
            <w:tcW w:w="187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老年医学</w:t>
            </w:r>
          </w:p>
        </w:tc>
        <w:tc>
          <w:tcPr>
            <w:tcW w:w="232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普通高等教育硕士研究生及以上，取得学历相应学位</w:t>
            </w:r>
          </w:p>
        </w:tc>
        <w:tc>
          <w:tcPr>
            <w:tcW w:w="2681" w:type="dxa"/>
            <w:tcBorders>
              <w:left w:val="nil"/>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C428F"/>
    <w:rsid w:val="787C4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2017-04-20T13:18:00Z</dcterms:created>
  <dc:creator>Administrator</dc:creator>
  <cp:lastModifiedBy>Administrator</cp:lastModifiedBy>
  <dcterms:modified xsi:type="dcterms:W3CDTF">2017-04-20T14:02:26Z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