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333333"/>
          <w:sz w:val="32"/>
          <w:szCs w:val="32"/>
          <w:shd w:val="clear" w:color="auto" w:fill="FFFFFF"/>
        </w:rPr>
      </w:pPr>
      <w:r>
        <w:rPr>
          <w:rFonts w:ascii="Times New Roman" w:hAnsi="Times New Roman" w:eastAsia="黑体" w:cs="Times New Roman"/>
          <w:color w:val="333333"/>
          <w:sz w:val="32"/>
          <w:szCs w:val="32"/>
          <w:shd w:val="clear" w:color="auto" w:fill="FFFFFF"/>
        </w:rPr>
        <w:t>附件1</w:t>
      </w:r>
    </w:p>
    <w:p>
      <w:pPr>
        <w:spacing w:after="0" w:line="540" w:lineRule="exact"/>
        <w:jc w:val="center"/>
        <w:rPr>
          <w:rFonts w:ascii="Times New Roman" w:hAnsi="Times New Roman" w:eastAsia="方正小标宋_GBK" w:cs="Times New Roman"/>
          <w:color w:val="333333"/>
          <w:sz w:val="44"/>
          <w:szCs w:val="44"/>
          <w:shd w:val="clear" w:color="auto" w:fill="FFFFFF"/>
        </w:rPr>
      </w:pPr>
      <w:r>
        <w:rPr>
          <w:rFonts w:ascii="Times New Roman" w:hAnsi="Times New Roman" w:eastAsia="方正小标宋_GBK" w:cs="Times New Roman"/>
          <w:color w:val="333333"/>
          <w:sz w:val="44"/>
          <w:szCs w:val="44"/>
          <w:shd w:val="clear" w:color="auto" w:fill="FFFFFF"/>
        </w:rPr>
        <w:t>202</w:t>
      </w:r>
      <w:r>
        <w:rPr>
          <w:rFonts w:hint="eastAsia" w:ascii="Times New Roman" w:hAnsi="Times New Roman" w:eastAsia="方正小标宋_GBK" w:cs="Times New Roman"/>
          <w:color w:val="333333"/>
          <w:sz w:val="44"/>
          <w:szCs w:val="44"/>
          <w:shd w:val="clear" w:color="auto" w:fill="FFFFFF"/>
        </w:rPr>
        <w:t>3</w:t>
      </w:r>
      <w:r>
        <w:rPr>
          <w:rFonts w:ascii="Times New Roman" w:hAnsi="Times New Roman" w:eastAsia="方正小标宋_GBK" w:cs="Times New Roman"/>
          <w:color w:val="333333"/>
          <w:sz w:val="44"/>
          <w:szCs w:val="44"/>
          <w:shd w:val="clear" w:color="auto" w:fill="FFFFFF"/>
        </w:rPr>
        <w:t>年泰兴经济开发区区属国有企业</w:t>
      </w:r>
      <w:r>
        <w:rPr>
          <w:rFonts w:hint="eastAsia" w:ascii="Times New Roman" w:hAnsi="Times New Roman" w:eastAsia="方正小标宋_GBK" w:cs="Times New Roman"/>
          <w:color w:val="333333"/>
          <w:sz w:val="44"/>
          <w:szCs w:val="44"/>
          <w:shd w:val="clear" w:color="auto" w:fill="FFFFFF"/>
        </w:rPr>
        <w:t>工作人员</w:t>
      </w:r>
      <w:r>
        <w:rPr>
          <w:rFonts w:ascii="Times New Roman" w:hAnsi="Times New Roman" w:eastAsia="方正小标宋_GBK" w:cs="Times New Roman"/>
          <w:color w:val="333333"/>
          <w:sz w:val="44"/>
          <w:szCs w:val="44"/>
          <w:shd w:val="clear" w:color="auto" w:fill="FFFFFF"/>
        </w:rPr>
        <w:t>招聘岗位表</w:t>
      </w:r>
    </w:p>
    <w:tbl>
      <w:tblPr>
        <w:tblStyle w:val="4"/>
        <w:tblW w:w="15570" w:type="dxa"/>
        <w:jc w:val="center"/>
        <w:tblLayout w:type="fixed"/>
        <w:tblCellMar>
          <w:top w:w="0" w:type="dxa"/>
          <w:left w:w="108" w:type="dxa"/>
          <w:bottom w:w="0" w:type="dxa"/>
          <w:right w:w="108" w:type="dxa"/>
        </w:tblCellMar>
      </w:tblPr>
      <w:tblGrid>
        <w:gridCol w:w="1320"/>
        <w:gridCol w:w="1273"/>
        <w:gridCol w:w="1213"/>
        <w:gridCol w:w="1155"/>
        <w:gridCol w:w="5233"/>
        <w:gridCol w:w="3960"/>
        <w:gridCol w:w="1416"/>
      </w:tblGrid>
      <w:tr>
        <w:trPr>
          <w:trHeight w:val="545" w:hRule="atLeast"/>
          <w:jc w:val="center"/>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exact"/>
              <w:contextualSpacing/>
              <w:jc w:val="center"/>
              <w:rPr>
                <w:rFonts w:ascii="Times New Roman" w:hAnsi="Times New Roman" w:eastAsia="宋体" w:cs="Times New Roman"/>
                <w:b/>
                <w:color w:val="000000"/>
              </w:rPr>
            </w:pPr>
            <w:r>
              <w:rPr>
                <w:rFonts w:ascii="Times New Roman" w:hAnsi="Times New Roman" w:eastAsia="宋体" w:cs="Times New Roman"/>
                <w:b/>
                <w:color w:val="000000"/>
              </w:rPr>
              <w:t>招聘公司</w:t>
            </w:r>
          </w:p>
        </w:tc>
        <w:tc>
          <w:tcPr>
            <w:tcW w:w="127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contextualSpacing/>
              <w:jc w:val="center"/>
              <w:rPr>
                <w:rFonts w:ascii="Times New Roman" w:hAnsi="Times New Roman" w:eastAsia="宋体" w:cs="Times New Roman"/>
                <w:b/>
                <w:color w:val="000000"/>
              </w:rPr>
            </w:pPr>
            <w:r>
              <w:rPr>
                <w:rFonts w:ascii="Times New Roman" w:hAnsi="Times New Roman" w:eastAsia="宋体" w:cs="Times New Roman"/>
                <w:b/>
                <w:color w:val="000000"/>
              </w:rPr>
              <w:t>岗位名称</w:t>
            </w:r>
          </w:p>
        </w:tc>
        <w:tc>
          <w:tcPr>
            <w:tcW w:w="121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contextualSpacing/>
              <w:jc w:val="center"/>
              <w:rPr>
                <w:rFonts w:ascii="Times New Roman" w:hAnsi="Times New Roman" w:eastAsia="宋体" w:cs="Times New Roman"/>
                <w:b/>
                <w:color w:val="000000"/>
              </w:rPr>
            </w:pPr>
            <w:r>
              <w:rPr>
                <w:rFonts w:ascii="Times New Roman" w:hAnsi="Times New Roman" w:eastAsia="宋体" w:cs="Times New Roman"/>
                <w:b/>
                <w:color w:val="000000"/>
              </w:rPr>
              <w:t>招聘人数</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contextualSpacing/>
              <w:jc w:val="center"/>
              <w:rPr>
                <w:rFonts w:ascii="Times New Roman" w:hAnsi="Times New Roman" w:eastAsia="宋体" w:cs="Times New Roman"/>
                <w:b/>
                <w:color w:val="000000"/>
              </w:rPr>
            </w:pPr>
            <w:r>
              <w:rPr>
                <w:rFonts w:hint="eastAsia" w:ascii="Times New Roman" w:hAnsi="Times New Roman" w:eastAsia="宋体" w:cs="Times New Roman"/>
                <w:b/>
                <w:color w:val="000000"/>
              </w:rPr>
              <w:t>开考比例</w:t>
            </w:r>
          </w:p>
        </w:tc>
        <w:tc>
          <w:tcPr>
            <w:tcW w:w="523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contextualSpacing/>
              <w:jc w:val="center"/>
              <w:rPr>
                <w:rFonts w:ascii="Times New Roman" w:hAnsi="Times New Roman" w:eastAsia="宋体" w:cs="Times New Roman"/>
                <w:b/>
                <w:color w:val="000000"/>
              </w:rPr>
            </w:pPr>
            <w:r>
              <w:rPr>
                <w:rFonts w:ascii="Times New Roman" w:hAnsi="Times New Roman" w:eastAsia="宋体" w:cs="Times New Roman"/>
                <w:b/>
                <w:color w:val="000000"/>
              </w:rPr>
              <w:t>岗位职责</w:t>
            </w:r>
          </w:p>
        </w:tc>
        <w:tc>
          <w:tcPr>
            <w:tcW w:w="39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contextualSpacing/>
              <w:jc w:val="center"/>
              <w:rPr>
                <w:rFonts w:ascii="Times New Roman" w:hAnsi="Times New Roman" w:eastAsia="宋体" w:cs="Times New Roman"/>
                <w:b/>
                <w:color w:val="000000"/>
              </w:rPr>
            </w:pPr>
            <w:r>
              <w:rPr>
                <w:rFonts w:ascii="Times New Roman" w:hAnsi="Times New Roman" w:eastAsia="宋体" w:cs="Times New Roman"/>
                <w:b/>
                <w:color w:val="000000"/>
              </w:rPr>
              <w:t>招聘条件</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contextualSpacing/>
              <w:jc w:val="center"/>
              <w:rPr>
                <w:rFonts w:ascii="Times New Roman" w:hAnsi="Times New Roman" w:eastAsia="宋体" w:cs="Times New Roman"/>
                <w:b/>
                <w:color w:val="000000"/>
              </w:rPr>
            </w:pPr>
            <w:r>
              <w:rPr>
                <w:rFonts w:hint="eastAsia" w:ascii="Times New Roman" w:hAnsi="Times New Roman" w:eastAsia="宋体" w:cs="Times New Roman"/>
                <w:b/>
                <w:color w:val="000000"/>
              </w:rPr>
              <w:t>备注</w:t>
            </w:r>
          </w:p>
        </w:tc>
      </w:tr>
      <w:tr>
        <w:tblPrEx>
          <w:tblCellMar>
            <w:top w:w="0" w:type="dxa"/>
            <w:left w:w="108" w:type="dxa"/>
            <w:bottom w:w="0" w:type="dxa"/>
            <w:right w:w="108" w:type="dxa"/>
          </w:tblCellMar>
        </w:tblPrEx>
        <w:trPr>
          <w:trHeight w:val="2150" w:hRule="atLeast"/>
          <w:jc w:val="center"/>
        </w:trPr>
        <w:tc>
          <w:tcPr>
            <w:tcW w:w="1320" w:type="dxa"/>
            <w:tcBorders>
              <w:top w:val="nil"/>
              <w:left w:val="single" w:color="auto" w:sz="4" w:space="0"/>
              <w:bottom w:val="single" w:color="auto" w:sz="4" w:space="0"/>
              <w:right w:val="single" w:color="auto" w:sz="4" w:space="0"/>
            </w:tcBorders>
            <w:shd w:val="clear" w:color="auto" w:fill="auto"/>
            <w:noWrap/>
            <w:vAlign w:val="center"/>
          </w:tcPr>
          <w:p>
            <w:pPr>
              <w:spacing w:after="0" w:line="220" w:lineRule="exact"/>
              <w:contextualSpacing/>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成兴国有资产经营投资有限公司</w:t>
            </w:r>
          </w:p>
          <w:p>
            <w:pPr>
              <w:spacing w:after="0" w:line="220" w:lineRule="exact"/>
              <w:contextualSpacing/>
              <w:jc w:val="center"/>
              <w:rPr>
                <w:rFonts w:ascii="Times New Roman" w:hAnsi="Times New Roman" w:eastAsia="宋体" w:cs="Times New Roman"/>
                <w:color w:val="000000"/>
                <w:sz w:val="18"/>
                <w:szCs w:val="18"/>
              </w:rPr>
            </w:pPr>
          </w:p>
          <w:p>
            <w:pPr>
              <w:spacing w:after="0" w:line="220" w:lineRule="exact"/>
              <w:contextualSpacing/>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襟江投资有限公司</w:t>
            </w:r>
          </w:p>
          <w:p>
            <w:pPr>
              <w:spacing w:after="0" w:line="220" w:lineRule="exact"/>
              <w:contextualSpacing/>
              <w:jc w:val="center"/>
              <w:rPr>
                <w:rFonts w:ascii="Times New Roman" w:hAnsi="Times New Roman" w:eastAsia="宋体" w:cs="Times New Roman"/>
                <w:color w:val="000000"/>
                <w:sz w:val="18"/>
                <w:szCs w:val="18"/>
              </w:rPr>
            </w:pPr>
          </w:p>
          <w:p>
            <w:pPr>
              <w:spacing w:after="0" w:line="220" w:lineRule="exact"/>
              <w:contextualSpacing/>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润嘉控股有限公司</w:t>
            </w:r>
          </w:p>
        </w:tc>
        <w:tc>
          <w:tcPr>
            <w:tcW w:w="1273" w:type="dxa"/>
            <w:tcBorders>
              <w:top w:val="nil"/>
              <w:left w:val="nil"/>
              <w:right w:val="single" w:color="auto" w:sz="4" w:space="0"/>
            </w:tcBorders>
            <w:shd w:val="clear" w:color="auto" w:fill="auto"/>
            <w:vAlign w:val="center"/>
          </w:tcPr>
          <w:p>
            <w:pPr>
              <w:spacing w:after="0" w:line="220" w:lineRule="exact"/>
              <w:contextualSpacing/>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财务核算岗</w:t>
            </w:r>
          </w:p>
        </w:tc>
        <w:tc>
          <w:tcPr>
            <w:tcW w:w="1213" w:type="dxa"/>
            <w:tcBorders>
              <w:top w:val="nil"/>
              <w:left w:val="nil"/>
              <w:right w:val="single" w:color="auto" w:sz="4" w:space="0"/>
            </w:tcBorders>
            <w:shd w:val="clear" w:color="auto" w:fill="auto"/>
            <w:vAlign w:val="center"/>
          </w:tcPr>
          <w:p>
            <w:pPr>
              <w:spacing w:after="0" w:line="220" w:lineRule="exact"/>
              <w:contextualSpacing/>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c>
          <w:tcPr>
            <w:tcW w:w="1155" w:type="dxa"/>
            <w:tcBorders>
              <w:top w:val="nil"/>
              <w:left w:val="nil"/>
              <w:right w:val="single" w:color="auto" w:sz="4" w:space="0"/>
            </w:tcBorders>
            <w:shd w:val="clear" w:color="auto" w:fill="auto"/>
            <w:vAlign w:val="center"/>
          </w:tcPr>
          <w:p>
            <w:pPr>
              <w:spacing w:after="0" w:line="220" w:lineRule="exact"/>
              <w:contextualSpacing/>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c>
          <w:tcPr>
            <w:tcW w:w="5233" w:type="dxa"/>
            <w:tcBorders>
              <w:top w:val="nil"/>
              <w:left w:val="nil"/>
              <w:right w:val="single" w:color="auto" w:sz="4" w:space="0"/>
            </w:tcBorders>
            <w:shd w:val="clear" w:color="auto" w:fill="auto"/>
            <w:vAlign w:val="center"/>
          </w:tcPr>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1.根据审核无误的原始凭证编制记账凭证，并定期登记明细帐及总帐，做到帐证相符、帐帐相符、帐实相符;</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2.负责公司账处理，每月制作资产负债表、利润表、现金流量表等财务报表，为企业的经营提供财务方面的分析和决策依据;</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3.月末准确计提各项税金，在申报期限内按期缴纳各种款;</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4.定期做好财产清查和核对工作，做到账实相符;</w:t>
            </w:r>
          </w:p>
          <w:p>
            <w:pPr>
              <w:spacing w:after="0" w:line="220" w:lineRule="exact"/>
              <w:contextualSpacing/>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5.做好记帐凭证、账册、报表等会计资料的整理、归档及保管工作。</w:t>
            </w:r>
          </w:p>
        </w:tc>
        <w:tc>
          <w:tcPr>
            <w:tcW w:w="3960" w:type="dxa"/>
            <w:tcBorders>
              <w:top w:val="nil"/>
              <w:left w:val="nil"/>
              <w:right w:val="single" w:color="auto" w:sz="4" w:space="0"/>
            </w:tcBorders>
            <w:shd w:val="clear" w:color="auto" w:fill="auto"/>
            <w:vAlign w:val="center"/>
          </w:tcPr>
          <w:p>
            <w:pPr>
              <w:spacing w:after="0" w:line="220" w:lineRule="exact"/>
              <w:contextualSpacing/>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1.年龄40周岁以下</w:t>
            </w:r>
            <w:r>
              <w:rPr>
                <w:rFonts w:hint="eastAsia" w:ascii="Times New Roman" w:hAnsi="Times New Roman" w:eastAsia="宋体" w:cs="Times New Roman"/>
                <w:color w:val="000000"/>
                <w:sz w:val="18"/>
                <w:szCs w:val="18"/>
              </w:rPr>
              <w:t>（1983年1月1日后出生）；</w:t>
            </w:r>
          </w:p>
          <w:p>
            <w:pPr>
              <w:spacing w:after="0" w:line="220" w:lineRule="exact"/>
              <w:contextualSpacing/>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2.全日制本科及以上学历，</w:t>
            </w:r>
            <w:r>
              <w:rPr>
                <w:rFonts w:hint="eastAsia" w:ascii="Times New Roman" w:hAnsi="Times New Roman" w:eastAsia="宋体" w:cs="Times New Roman"/>
                <w:color w:val="000000"/>
                <w:sz w:val="18"/>
                <w:szCs w:val="18"/>
              </w:rPr>
              <w:t>财务财会类</w:t>
            </w:r>
            <w:r>
              <w:rPr>
                <w:rFonts w:ascii="Times New Roman" w:hAnsi="Times New Roman" w:eastAsia="宋体" w:cs="Times New Roman"/>
                <w:color w:val="000000"/>
                <w:sz w:val="18"/>
                <w:szCs w:val="18"/>
              </w:rPr>
              <w:t>专业；</w:t>
            </w:r>
          </w:p>
          <w:p>
            <w:pPr>
              <w:spacing w:after="0" w:line="220" w:lineRule="exact"/>
              <w:contextualSpacing/>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3.具有会计初级及以上专业技术资格证书；</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color w:val="000000"/>
                <w:sz w:val="18"/>
                <w:szCs w:val="18"/>
              </w:rPr>
              <w:t>4.</w:t>
            </w:r>
            <w:r>
              <w:rPr>
                <w:rFonts w:hint="eastAsia" w:ascii="Times New Roman" w:hAnsi="Times New Roman" w:eastAsia="宋体" w:cs="Times New Roman"/>
                <w:sz w:val="18"/>
                <w:szCs w:val="18"/>
              </w:rPr>
              <w:t>有两年及以上</w:t>
            </w:r>
            <w:r>
              <w:rPr>
                <w:rFonts w:hint="eastAsia" w:ascii="Times New Roman" w:hAnsi="Times New Roman" w:eastAsia="宋体" w:cs="Times New Roman"/>
                <w:color w:val="000000"/>
                <w:sz w:val="18"/>
                <w:szCs w:val="18"/>
              </w:rPr>
              <w:t>（2023年1月1日前)</w:t>
            </w:r>
            <w:r>
              <w:rPr>
                <w:rFonts w:hint="eastAsia" w:ascii="Times New Roman" w:hAnsi="Times New Roman" w:eastAsia="宋体" w:cs="Times New Roman"/>
                <w:sz w:val="18"/>
                <w:szCs w:val="18"/>
              </w:rPr>
              <w:t>企业会计工作从业经验，熟悉会计报表的处理，会计法规和税法，熟练使用财务软件;</w:t>
            </w:r>
          </w:p>
          <w:p>
            <w:pPr>
              <w:spacing w:after="0" w:line="220" w:lineRule="exact"/>
              <w:contextualSpacing/>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5.</w:t>
            </w:r>
            <w:r>
              <w:rPr>
                <w:rFonts w:hint="eastAsia" w:ascii="Times New Roman" w:hAnsi="Times New Roman" w:eastAsia="宋体" w:cs="Times New Roman"/>
                <w:color w:val="000000"/>
                <w:sz w:val="18"/>
                <w:szCs w:val="18"/>
              </w:rPr>
              <w:t>有</w:t>
            </w:r>
            <w:r>
              <w:rPr>
                <w:rFonts w:ascii="Times New Roman" w:hAnsi="Times New Roman" w:eastAsia="宋体" w:cs="Times New Roman"/>
                <w:color w:val="000000"/>
                <w:sz w:val="18"/>
                <w:szCs w:val="18"/>
              </w:rPr>
              <w:t>大中型企业（国企或泰兴市三十强骨干企业）财务核算岗位</w:t>
            </w:r>
            <w:r>
              <w:rPr>
                <w:rFonts w:hint="eastAsia" w:ascii="Times New Roman" w:hAnsi="Times New Roman" w:eastAsia="宋体" w:cs="Times New Roman"/>
                <w:color w:val="000000"/>
                <w:sz w:val="18"/>
                <w:szCs w:val="18"/>
              </w:rPr>
              <w:t>工作经验的优先</w:t>
            </w:r>
            <w:r>
              <w:rPr>
                <w:rFonts w:ascii="Times New Roman" w:hAnsi="Times New Roman" w:eastAsia="宋体" w:cs="Times New Roman"/>
                <w:color w:val="000000"/>
                <w:sz w:val="18"/>
                <w:szCs w:val="18"/>
              </w:rPr>
              <w:t>；</w:t>
            </w:r>
          </w:p>
          <w:p>
            <w:pPr>
              <w:spacing w:after="0" w:line="220" w:lineRule="exact"/>
              <w:contextualSpacing/>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6</w:t>
            </w:r>
            <w:r>
              <w:rPr>
                <w:rFonts w:ascii="Times New Roman" w:hAnsi="Times New Roman" w:eastAsia="宋体" w:cs="Times New Roman"/>
                <w:color w:val="000000"/>
                <w:sz w:val="18"/>
                <w:szCs w:val="18"/>
              </w:rPr>
              <w:t>.中共党员或具备相关中高级职称者优先</w:t>
            </w:r>
            <w:r>
              <w:rPr>
                <w:rFonts w:hint="eastAsia" w:ascii="Times New Roman" w:hAnsi="Times New Roman" w:eastAsia="宋体" w:cs="Times New Roman"/>
                <w:color w:val="000000"/>
                <w:sz w:val="18"/>
                <w:szCs w:val="18"/>
              </w:rPr>
              <w:t>。</w:t>
            </w:r>
          </w:p>
        </w:tc>
        <w:tc>
          <w:tcPr>
            <w:tcW w:w="1416" w:type="dxa"/>
            <w:tcBorders>
              <w:top w:val="nil"/>
              <w:left w:val="nil"/>
              <w:bottom w:val="single" w:color="auto" w:sz="4" w:space="0"/>
              <w:right w:val="single" w:color="auto" w:sz="4" w:space="0"/>
            </w:tcBorders>
            <w:shd w:val="clear" w:color="auto" w:fill="auto"/>
            <w:vAlign w:val="center"/>
          </w:tcPr>
          <w:p>
            <w:pPr>
              <w:spacing w:after="0" w:line="220" w:lineRule="exact"/>
              <w:contextualSpacing/>
              <w:jc w:val="both"/>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成兴国有资产经营投资有限公司</w:t>
            </w:r>
            <w:r>
              <w:rPr>
                <w:rFonts w:hint="eastAsia" w:ascii="Times New Roman" w:hAnsi="Times New Roman" w:eastAsia="宋体" w:cs="Times New Roman"/>
                <w:color w:val="000000"/>
                <w:sz w:val="18"/>
                <w:szCs w:val="18"/>
              </w:rPr>
              <w:t>、</w:t>
            </w:r>
            <w:r>
              <w:rPr>
                <w:rFonts w:ascii="Times New Roman" w:hAnsi="Times New Roman" w:eastAsia="宋体" w:cs="Times New Roman"/>
                <w:color w:val="000000"/>
                <w:sz w:val="18"/>
                <w:szCs w:val="18"/>
              </w:rPr>
              <w:t>襟江投资有限公司</w:t>
            </w:r>
            <w:r>
              <w:rPr>
                <w:rFonts w:hint="eastAsia" w:ascii="Times New Roman" w:hAnsi="Times New Roman" w:eastAsia="宋体" w:cs="Times New Roman"/>
                <w:color w:val="000000"/>
                <w:sz w:val="18"/>
                <w:szCs w:val="18"/>
              </w:rPr>
              <w:t>、</w:t>
            </w:r>
            <w:r>
              <w:rPr>
                <w:rFonts w:ascii="Times New Roman" w:hAnsi="Times New Roman" w:eastAsia="宋体" w:cs="Times New Roman"/>
                <w:color w:val="000000"/>
                <w:sz w:val="18"/>
                <w:szCs w:val="18"/>
              </w:rPr>
              <w:t>润嘉控股有限公司</w:t>
            </w:r>
            <w:r>
              <w:rPr>
                <w:rFonts w:hint="eastAsia" w:ascii="Times New Roman" w:hAnsi="Times New Roman" w:eastAsia="宋体" w:cs="Times New Roman"/>
                <w:color w:val="000000"/>
                <w:sz w:val="18"/>
                <w:szCs w:val="18"/>
              </w:rPr>
              <w:t>各招聘1人。招聘人员根据总成绩从高分到低分依次公开选岗确定聘用岗位。</w:t>
            </w:r>
          </w:p>
        </w:tc>
      </w:tr>
      <w:tr>
        <w:tblPrEx>
          <w:tblCellMar>
            <w:top w:w="0" w:type="dxa"/>
            <w:left w:w="108" w:type="dxa"/>
            <w:bottom w:w="0" w:type="dxa"/>
            <w:right w:w="108" w:type="dxa"/>
          </w:tblCellMar>
        </w:tblPrEx>
        <w:trPr>
          <w:trHeight w:val="1285" w:hRule="atLeast"/>
          <w:jc w:val="center"/>
        </w:trPr>
        <w:tc>
          <w:tcPr>
            <w:tcW w:w="1320" w:type="dxa"/>
            <w:vMerge w:val="restart"/>
            <w:tcBorders>
              <w:top w:val="nil"/>
              <w:left w:val="single" w:color="auto" w:sz="4" w:space="0"/>
              <w:right w:val="single" w:color="auto" w:sz="4" w:space="0"/>
            </w:tcBorders>
            <w:shd w:val="clear" w:color="auto" w:fill="auto"/>
            <w:noWrap/>
            <w:vAlign w:val="center"/>
          </w:tcPr>
          <w:p>
            <w:pPr>
              <w:spacing w:line="220" w:lineRule="exact"/>
              <w:contextualSpacing/>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润嘉控股有限公司</w:t>
            </w:r>
          </w:p>
        </w:tc>
        <w:tc>
          <w:tcPr>
            <w:tcW w:w="1273" w:type="dxa"/>
            <w:tcBorders>
              <w:top w:val="single" w:color="auto" w:sz="4" w:space="0"/>
              <w:left w:val="nil"/>
              <w:bottom w:val="single" w:color="auto" w:sz="4" w:space="0"/>
              <w:right w:val="single" w:color="auto" w:sz="4" w:space="0"/>
            </w:tcBorders>
            <w:shd w:val="clear" w:color="auto" w:fill="auto"/>
            <w:noWrap/>
            <w:vAlign w:val="center"/>
          </w:tcPr>
          <w:p>
            <w:pPr>
              <w:spacing w:after="0" w:line="220" w:lineRule="exact"/>
              <w:contextualSpacing/>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融资管理岗</w:t>
            </w:r>
          </w:p>
        </w:tc>
        <w:tc>
          <w:tcPr>
            <w:tcW w:w="1213" w:type="dxa"/>
            <w:tcBorders>
              <w:top w:val="single" w:color="auto" w:sz="4" w:space="0"/>
              <w:left w:val="nil"/>
              <w:bottom w:val="single" w:color="auto" w:sz="4" w:space="0"/>
              <w:right w:val="single" w:color="auto" w:sz="4" w:space="0"/>
            </w:tcBorders>
            <w:shd w:val="clear" w:color="auto" w:fill="auto"/>
            <w:noWrap/>
            <w:vAlign w:val="center"/>
          </w:tcPr>
          <w:p>
            <w:pPr>
              <w:spacing w:after="0" w:line="220" w:lineRule="exact"/>
              <w:contextualSpacing/>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after="0" w:line="220" w:lineRule="exact"/>
              <w:contextualSpacing/>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c>
          <w:tcPr>
            <w:tcW w:w="5233" w:type="dxa"/>
            <w:tcBorders>
              <w:top w:val="single" w:color="auto" w:sz="4" w:space="0"/>
              <w:left w:val="nil"/>
              <w:bottom w:val="single" w:color="auto" w:sz="4" w:space="0"/>
              <w:right w:val="single" w:color="auto" w:sz="4" w:space="0"/>
            </w:tcBorders>
            <w:shd w:val="clear" w:color="auto" w:fill="auto"/>
            <w:vAlign w:val="center"/>
          </w:tcPr>
          <w:p>
            <w:pPr>
              <w:spacing w:after="0" w:line="220" w:lineRule="exact"/>
              <w:contextualSpacing/>
              <w:rPr>
                <w:rFonts w:ascii="Times New Roman" w:hAnsi="Times New Roman" w:eastAsia="宋体" w:cs="Times New Roman"/>
                <w:sz w:val="18"/>
                <w:szCs w:val="18"/>
              </w:rPr>
            </w:pPr>
            <w:r>
              <w:rPr>
                <w:rFonts w:ascii="Times New Roman" w:hAnsi="Times New Roman" w:eastAsia="宋体" w:cs="Times New Roman"/>
                <w:sz w:val="18"/>
                <w:szCs w:val="18"/>
              </w:rPr>
              <w:t>1.根据公司融资战略规划，执行各项任务的推进和落实；</w:t>
            </w:r>
          </w:p>
          <w:p>
            <w:pPr>
              <w:spacing w:after="0" w:line="220" w:lineRule="exact"/>
              <w:contextualSpacing/>
              <w:rPr>
                <w:rFonts w:ascii="Times New Roman" w:hAnsi="Times New Roman" w:eastAsia="宋体" w:cs="Times New Roman"/>
                <w:sz w:val="18"/>
                <w:szCs w:val="18"/>
              </w:rPr>
            </w:pPr>
            <w:r>
              <w:rPr>
                <w:rFonts w:ascii="Times New Roman" w:hAnsi="Times New Roman" w:eastAsia="宋体" w:cs="Times New Roman"/>
                <w:sz w:val="18"/>
                <w:szCs w:val="18"/>
              </w:rPr>
              <w:t>2.参与融资方案设计与谈判，负责对接合作金融机构的日常沟通、资料收集、签约放款、后期维护等工作；</w:t>
            </w:r>
          </w:p>
          <w:p>
            <w:pPr>
              <w:spacing w:after="0" w:line="220" w:lineRule="exact"/>
              <w:contextualSpacing/>
              <w:rPr>
                <w:rFonts w:ascii="Times New Roman" w:hAnsi="Times New Roman" w:eastAsia="宋体" w:cs="Times New Roman"/>
                <w:sz w:val="18"/>
                <w:szCs w:val="18"/>
              </w:rPr>
            </w:pPr>
            <w:r>
              <w:rPr>
                <w:rFonts w:ascii="Times New Roman" w:hAnsi="Times New Roman" w:eastAsia="宋体" w:cs="Times New Roman"/>
                <w:sz w:val="18"/>
                <w:szCs w:val="18"/>
              </w:rPr>
              <w:t>3.积极开拓公司各类融资渠道，协助创新公司融资方式，优化公司融资结构，降低公司融资成本；</w:t>
            </w:r>
          </w:p>
          <w:p>
            <w:pPr>
              <w:spacing w:after="0" w:line="220" w:lineRule="exact"/>
              <w:contextualSpacing/>
              <w:rPr>
                <w:rFonts w:ascii="Times New Roman" w:hAnsi="Times New Roman" w:eastAsia="宋体" w:cs="Times New Roman"/>
                <w:sz w:val="18"/>
                <w:szCs w:val="18"/>
              </w:rPr>
            </w:pPr>
            <w:r>
              <w:rPr>
                <w:rFonts w:ascii="Times New Roman" w:hAnsi="Times New Roman" w:eastAsia="宋体" w:cs="Times New Roman"/>
                <w:sz w:val="18"/>
                <w:szCs w:val="18"/>
              </w:rPr>
              <w:t>4.协助建立和优化公司资金管理体系及工作流程；</w:t>
            </w:r>
          </w:p>
          <w:p>
            <w:pPr>
              <w:spacing w:after="0" w:line="220" w:lineRule="exact"/>
              <w:contextualSpacing/>
              <w:rPr>
                <w:rFonts w:ascii="Times New Roman" w:hAnsi="Times New Roman" w:eastAsia="宋体" w:cs="Times New Roman"/>
                <w:color w:val="000000"/>
                <w:sz w:val="18"/>
                <w:szCs w:val="18"/>
              </w:rPr>
            </w:pPr>
            <w:r>
              <w:rPr>
                <w:rFonts w:ascii="Times New Roman" w:hAnsi="Times New Roman" w:eastAsia="宋体" w:cs="Times New Roman"/>
                <w:sz w:val="18"/>
                <w:szCs w:val="18"/>
              </w:rPr>
              <w:t>5.完成领导交办的其他事项。</w:t>
            </w:r>
          </w:p>
        </w:tc>
        <w:tc>
          <w:tcPr>
            <w:tcW w:w="3960" w:type="dxa"/>
            <w:tcBorders>
              <w:top w:val="single" w:color="auto" w:sz="4" w:space="0"/>
              <w:left w:val="nil"/>
              <w:bottom w:val="single" w:color="auto" w:sz="4" w:space="0"/>
              <w:right w:val="single" w:color="auto" w:sz="4" w:space="0"/>
            </w:tcBorders>
            <w:shd w:val="clear" w:color="auto" w:fill="auto"/>
            <w:vAlign w:val="center"/>
          </w:tcPr>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1.年龄40周岁以下</w:t>
            </w:r>
            <w:r>
              <w:rPr>
                <w:rFonts w:hint="eastAsia" w:ascii="Times New Roman" w:hAnsi="Times New Roman" w:eastAsia="宋体" w:cs="Times New Roman"/>
                <w:color w:val="000000"/>
                <w:sz w:val="18"/>
                <w:szCs w:val="18"/>
              </w:rPr>
              <w:t>（1983年1月1日后出生）；</w:t>
            </w:r>
            <w:r>
              <w:rPr>
                <w:rFonts w:hint="eastAsia" w:ascii="Times New Roman" w:hAnsi="Times New Roman" w:eastAsia="宋体" w:cs="Times New Roman"/>
                <w:sz w:val="18"/>
                <w:szCs w:val="18"/>
              </w:rPr>
              <w:t xml:space="preserve">                                   2.</w:t>
            </w:r>
            <w:r>
              <w:rPr>
                <w:rFonts w:ascii="Times New Roman" w:hAnsi="Times New Roman" w:eastAsia="宋体" w:cs="Times New Roman"/>
                <w:color w:val="000000"/>
                <w:sz w:val="18"/>
                <w:szCs w:val="18"/>
              </w:rPr>
              <w:t>全日制本科及以上学历</w:t>
            </w:r>
            <w:r>
              <w:rPr>
                <w:rFonts w:hint="eastAsia" w:ascii="Times New Roman" w:hAnsi="Times New Roman" w:eastAsia="宋体" w:cs="Times New Roman"/>
                <w:sz w:val="18"/>
                <w:szCs w:val="18"/>
              </w:rPr>
              <w:t xml:space="preserve">，经济类专业；         </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3.具备扎实的金融财务知识，熟练掌握office办公软件操作；      </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4.具有三年及以上</w:t>
            </w:r>
            <w:r>
              <w:rPr>
                <w:rFonts w:hint="eastAsia" w:ascii="Times New Roman" w:hAnsi="Times New Roman" w:eastAsia="宋体" w:cs="Times New Roman"/>
                <w:color w:val="000000"/>
                <w:sz w:val="18"/>
                <w:szCs w:val="18"/>
              </w:rPr>
              <w:t>（2023年1月1日前)</w:t>
            </w:r>
            <w:r>
              <w:rPr>
                <w:rFonts w:hint="eastAsia" w:ascii="Times New Roman" w:hAnsi="Times New Roman" w:eastAsia="宋体" w:cs="Times New Roman"/>
                <w:sz w:val="18"/>
                <w:szCs w:val="18"/>
              </w:rPr>
              <w:t xml:space="preserve">金融机构、企业融资工作经验者优先。                            </w:t>
            </w:r>
          </w:p>
        </w:tc>
        <w:tc>
          <w:tcPr>
            <w:tcW w:w="1416" w:type="dxa"/>
            <w:tcBorders>
              <w:top w:val="single" w:color="auto" w:sz="4" w:space="0"/>
              <w:left w:val="nil"/>
              <w:bottom w:val="single" w:color="auto" w:sz="4" w:space="0"/>
              <w:right w:val="single" w:color="auto" w:sz="4" w:space="0"/>
            </w:tcBorders>
            <w:shd w:val="clear" w:color="auto" w:fill="auto"/>
            <w:vAlign w:val="center"/>
          </w:tcPr>
          <w:p>
            <w:pPr>
              <w:spacing w:after="0" w:line="220" w:lineRule="exact"/>
              <w:contextualSpacing/>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107" w:hRule="atLeast"/>
          <w:jc w:val="center"/>
        </w:trPr>
        <w:tc>
          <w:tcPr>
            <w:tcW w:w="1320" w:type="dxa"/>
            <w:vMerge w:val="continue"/>
            <w:tcBorders>
              <w:left w:val="single" w:color="auto" w:sz="4" w:space="0"/>
              <w:bottom w:val="single" w:color="auto" w:sz="4" w:space="0"/>
              <w:right w:val="single" w:color="auto" w:sz="4" w:space="0"/>
            </w:tcBorders>
            <w:vAlign w:val="center"/>
          </w:tcPr>
          <w:p>
            <w:pPr>
              <w:spacing w:line="220" w:lineRule="exact"/>
              <w:contextualSpacing/>
              <w:rPr>
                <w:rFonts w:ascii="Times New Roman" w:hAnsi="Times New Roman" w:eastAsia="宋体" w:cs="Times New Roman"/>
                <w:color w:val="000000"/>
                <w:sz w:val="18"/>
                <w:szCs w:val="18"/>
              </w:rPr>
            </w:pP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20" w:lineRule="exact"/>
              <w:contextualSpacing/>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工程管理岗</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20" w:lineRule="exact"/>
              <w:contextualSpacing/>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20" w:lineRule="exact"/>
              <w:contextualSpacing/>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c>
          <w:tcPr>
            <w:tcW w:w="523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1.负责责任项目的管理工作，</w:t>
            </w:r>
            <w:bookmarkStart w:id="0" w:name="_GoBack"/>
            <w:bookmarkEnd w:id="0"/>
            <w:r>
              <w:rPr>
                <w:rFonts w:hint="eastAsia" w:ascii="Times New Roman" w:hAnsi="Times New Roman" w:eastAsia="宋体" w:cs="Times New Roman"/>
                <w:sz w:val="18"/>
                <w:szCs w:val="18"/>
              </w:rPr>
              <w:t>切实履行项目建设方主体权利和义务，全面把控项目建设周期、工程质量、安全文明、投资控制等任务目标；</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2.负责责任项目园区内部相关程序审批；</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3.协助做好责任项目的变更、签证审核以及工程进度款的报批；</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4.协助做好责任项目的竣工验收及结算审计等工作；</w:t>
            </w:r>
          </w:p>
          <w:p>
            <w:pPr>
              <w:spacing w:after="0" w:line="220" w:lineRule="exact"/>
              <w:contextualSpacing/>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5.负责做好责任项目施工阶段档案资料的收集、整理归档工作。</w:t>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1.年龄40周岁以下</w:t>
            </w:r>
            <w:r>
              <w:rPr>
                <w:rFonts w:hint="eastAsia" w:ascii="Times New Roman" w:hAnsi="Times New Roman" w:eastAsia="宋体" w:cs="Times New Roman"/>
                <w:color w:val="000000"/>
                <w:sz w:val="18"/>
                <w:szCs w:val="18"/>
              </w:rPr>
              <w:t>（1983年1月1日后出生）；</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color w:val="000000"/>
                <w:sz w:val="18"/>
                <w:szCs w:val="18"/>
              </w:rPr>
              <w:t>全日制本科及以上学历</w:t>
            </w:r>
            <w:r>
              <w:rPr>
                <w:rFonts w:hint="eastAsia" w:ascii="Times New Roman" w:hAnsi="Times New Roman" w:eastAsia="宋体" w:cs="Times New Roman"/>
                <w:sz w:val="18"/>
                <w:szCs w:val="18"/>
              </w:rPr>
              <w:t>，建筑工程类专业；</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3.具有工程建设类初级及以上技术职称或具有二级建造师及以上执业资格证书；</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4.熟悉行业有关政策、技术标准及管理制度，有较强的组织能力、协调能力、沟通能力和表达能力；</w:t>
            </w:r>
          </w:p>
          <w:p>
            <w:pPr>
              <w:spacing w:after="0" w:line="220" w:lineRule="exact"/>
              <w:contextualSpacing/>
              <w:rPr>
                <w:rFonts w:ascii="Times New Roman" w:hAnsi="Times New Roman" w:eastAsia="宋体" w:cs="Times New Roman"/>
                <w:sz w:val="18"/>
                <w:szCs w:val="18"/>
              </w:rPr>
            </w:pPr>
            <w:r>
              <w:rPr>
                <w:rFonts w:hint="eastAsia" w:ascii="Times New Roman" w:hAnsi="Times New Roman" w:eastAsia="宋体" w:cs="Times New Roman"/>
                <w:sz w:val="18"/>
                <w:szCs w:val="18"/>
              </w:rPr>
              <w:t>5.具有五年及以上</w:t>
            </w:r>
            <w:r>
              <w:rPr>
                <w:rFonts w:hint="eastAsia" w:ascii="Times New Roman" w:hAnsi="Times New Roman" w:eastAsia="宋体" w:cs="Times New Roman"/>
                <w:color w:val="000000"/>
                <w:sz w:val="18"/>
                <w:szCs w:val="18"/>
              </w:rPr>
              <w:t>（2023年1月1日前）</w:t>
            </w:r>
            <w:r>
              <w:rPr>
                <w:rFonts w:hint="eastAsia" w:ascii="Times New Roman" w:hAnsi="Times New Roman" w:eastAsia="宋体" w:cs="Times New Roman"/>
                <w:sz w:val="18"/>
                <w:szCs w:val="18"/>
              </w:rPr>
              <w:t>建设项目工程管理工作经验者优先。</w:t>
            </w:r>
          </w:p>
          <w:p>
            <w:pPr>
              <w:spacing w:after="0" w:line="220" w:lineRule="exact"/>
              <w:contextualSpacing/>
              <w:rPr>
                <w:rFonts w:ascii="Times New Roman" w:hAnsi="Times New Roman" w:eastAsia="宋体" w:cs="Times New Roman"/>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20" w:lineRule="exact"/>
              <w:contextualSpacing/>
              <w:rPr>
                <w:rFonts w:ascii="Times New Roman" w:hAnsi="Times New Roman" w:eastAsia="宋体" w:cs="Times New Roman"/>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NTExNDAxMTRiMWJlMTlhNjhkMmFiMDY2ODQzODYifQ=="/>
  </w:docVars>
  <w:rsids>
    <w:rsidRoot w:val="7CC34706"/>
    <w:rsid w:val="7CC3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2023-02-16T09:39:00Z</dcterms:created>
  <dc:creator>唐</dc:creator>
  <cp:lastModifiedBy>唐</cp:lastModifiedBy>
  <dcterms:modified xsi:type="dcterms:W3CDTF">2023-02-16T09:39:22Z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69DB6BF8D5934CDC9B4C8D248030443A</vt:lpwstr>
  </property>
</Properties>
</file>