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D" w:rsidRDefault="00D31F4D" w:rsidP="00D31F4D">
      <w:pPr>
        <w:pStyle w:val="Heading11"/>
        <w:keepNext/>
        <w:keepLines/>
        <w:spacing w:after="0" w:line="540" w:lineRule="exact"/>
        <w:jc w:val="left"/>
        <w:rPr>
          <w:rFonts w:ascii="仿宋_GB2312" w:eastAsia="仿宋_GB2312" w:hAnsi="方正小标宋简体" w:cs="方正小标宋简体" w:hint="eastAsia"/>
          <w:color w:val="000000"/>
          <w:sz w:val="30"/>
          <w:szCs w:val="30"/>
          <w:lang w:eastAsia="zh-CN"/>
        </w:rPr>
      </w:pPr>
      <w:bookmarkStart w:id="0" w:name="bookmark37"/>
      <w:bookmarkStart w:id="1" w:name="bookmark36"/>
      <w:bookmarkStart w:id="2" w:name="bookmark35"/>
      <w:r w:rsidRPr="00D31F4D">
        <w:rPr>
          <w:rFonts w:ascii="仿宋_GB2312" w:eastAsia="仿宋_GB2312" w:hAnsi="方正小标宋简体" w:cs="方正小标宋简体" w:hint="eastAsia"/>
          <w:color w:val="000000"/>
          <w:sz w:val="30"/>
          <w:szCs w:val="30"/>
          <w:lang w:eastAsia="zh-CN"/>
        </w:rPr>
        <w:t>附件1</w:t>
      </w:r>
    </w:p>
    <w:p w:rsidR="00D31F4D" w:rsidRPr="00D31F4D" w:rsidRDefault="00D31F4D" w:rsidP="00D31F4D">
      <w:pPr>
        <w:pStyle w:val="Heading11"/>
        <w:keepNext/>
        <w:keepLines/>
        <w:spacing w:after="0" w:line="540" w:lineRule="exact"/>
        <w:jc w:val="left"/>
        <w:rPr>
          <w:rFonts w:ascii="仿宋_GB2312" w:eastAsia="仿宋_GB2312" w:hAnsi="方正小标宋简体" w:cs="方正小标宋简体" w:hint="eastAsia"/>
          <w:color w:val="000000"/>
          <w:sz w:val="30"/>
          <w:szCs w:val="30"/>
          <w:lang w:eastAsia="zh-CN"/>
        </w:rPr>
      </w:pPr>
      <w:bookmarkStart w:id="3" w:name="_GoBack"/>
      <w:bookmarkEnd w:id="3"/>
    </w:p>
    <w:p w:rsidR="00D31F4D" w:rsidRDefault="00D31F4D" w:rsidP="00D31F4D">
      <w:pPr>
        <w:pStyle w:val="Heading11"/>
        <w:keepNext/>
        <w:keepLines/>
        <w:spacing w:after="0" w:line="54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长沙市文化旅游广电局所属部分事业单位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公开招聘普通雇员岗位计划表</w:t>
      </w:r>
      <w:bookmarkEnd w:id="0"/>
      <w:bookmarkEnd w:id="1"/>
      <w:bookmarkEnd w:id="2"/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303"/>
        <w:gridCol w:w="446"/>
        <w:gridCol w:w="773"/>
        <w:gridCol w:w="808"/>
        <w:gridCol w:w="2707"/>
        <w:gridCol w:w="4988"/>
        <w:gridCol w:w="1155"/>
        <w:gridCol w:w="1670"/>
      </w:tblGrid>
      <w:tr w:rsidR="00D31F4D" w:rsidTr="005228E0">
        <w:trPr>
          <w:trHeight w:hRule="exact" w:val="529"/>
          <w:jc w:val="center"/>
        </w:trPr>
        <w:tc>
          <w:tcPr>
            <w:tcW w:w="1267" w:type="dxa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1749" w:type="dxa"/>
            <w:gridSpan w:val="2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黑体" w:eastAsia="黑体" w:hAnsi="黑体" w:cs="黑体" w:hint="eastAsia"/>
                <w:sz w:val="10"/>
                <w:szCs w:val="10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岗位名称及数量</w:t>
            </w:r>
          </w:p>
        </w:tc>
        <w:tc>
          <w:tcPr>
            <w:tcW w:w="9276" w:type="dxa"/>
            <w:gridSpan w:val="4"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黑体" w:eastAsia="黑体" w:hAnsi="黑体" w:cs="黑体" w:hint="eastAsia"/>
                <w:sz w:val="10"/>
                <w:szCs w:val="10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岗位条件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考核方式</w:t>
            </w:r>
          </w:p>
        </w:tc>
        <w:tc>
          <w:tcPr>
            <w:tcW w:w="1670" w:type="dxa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 w:rsidR="00D31F4D" w:rsidTr="005228E0">
        <w:trPr>
          <w:trHeight w:hRule="exact" w:val="584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749" w:type="dxa"/>
            <w:gridSpan w:val="2"/>
            <w:vMerge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before="80" w:after="0" w:line="240" w:lineRule="auto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before="80" w:after="0" w:line="240" w:lineRule="auto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before="80" w:after="0" w:line="240" w:lineRule="auto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D31F4D" w:rsidRDefault="00D31F4D" w:rsidP="005228E0"/>
        </w:tc>
        <w:tc>
          <w:tcPr>
            <w:tcW w:w="1670" w:type="dxa"/>
            <w:vMerge/>
            <w:shd w:val="clear" w:color="auto" w:fill="FFFFFF"/>
            <w:vAlign w:val="center"/>
          </w:tcPr>
          <w:p w:rsidR="00D31F4D" w:rsidRDefault="00D31F4D" w:rsidP="005228E0"/>
        </w:tc>
      </w:tr>
      <w:tr w:rsidR="00D31F4D" w:rsidTr="005228E0">
        <w:trPr>
          <w:trHeight w:hRule="exact" w:val="1431"/>
          <w:jc w:val="center"/>
        </w:trPr>
        <w:tc>
          <w:tcPr>
            <w:tcW w:w="1267" w:type="dxa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长沙简牍博物馆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党建专干1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政治学类、中国语言文学类、公共管理类、法学类专业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面向2023届普通高校毕业生；研究生学历可放宽至30岁及以下</w:t>
            </w:r>
          </w:p>
        </w:tc>
      </w:tr>
      <w:tr w:rsidR="00D31F4D" w:rsidTr="005228E0">
        <w:trPr>
          <w:trHeight w:hRule="exact" w:val="798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党建专干2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政治学类、中国语言文学类、公共管理类、法学类专业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1280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社会教育员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艺术类、教育学类、历史学类、旅游管理类专业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女性身高162cm及以上，男性身高172cm及以上，普通话水平达到二级甲等及以上。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结构化面试+专业考核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面向2023届普通高校毕业生；研究生学历可放宽至30岁及以下</w:t>
            </w:r>
          </w:p>
        </w:tc>
      </w:tr>
      <w:tr w:rsidR="00D31F4D" w:rsidTr="005228E0">
        <w:trPr>
          <w:trHeight w:hRule="exact" w:val="969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英文讲解员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外国语言文学类、艺术类、教育学类、历史学类、旅游管理类专业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女性身高162cm及以上，男性身高17</w:t>
            </w:r>
            <w:r>
              <w:rPr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cm及以上，普通话水平达到二级甲等及以上，英语水平达到大学英语六级或专业英语四级及以上。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结构化面试+专业考核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804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文物宣传与公共服务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摄影、影视摄影与制作专业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有较强的摄影、摄像功底，熟悉各类图像处理、剪辑软件；有2年以上相关工作经历。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D31F4D" w:rsidTr="005228E0">
        <w:trPr>
          <w:trHeight w:hRule="exact" w:val="1344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文秘1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Chars="100" w:firstLine="21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中国语言文学类、新闻传播类、公共管理类、法学类专业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面向2023届普通高校毕业生；研究生学历可放宽至30岁及以下</w:t>
            </w:r>
          </w:p>
        </w:tc>
      </w:tr>
      <w:tr w:rsidR="00D31F4D" w:rsidTr="005228E0">
        <w:trPr>
          <w:trHeight w:hRule="exact" w:val="719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文秘2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中国语言文学类、新闻传播类、公共管理类、法学类专业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中共党员（含预备党员），有3年以上专职文字岗位工作经历。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D31F4D" w:rsidTr="005228E0">
        <w:trPr>
          <w:trHeight w:hRule="exact" w:val="717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信息技术员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计算机科学与技术、信息安全专业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精通计算机、网络软硬件的安全维护与使用；有2年以上相关工作经历。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D31F4D" w:rsidTr="005228E0">
        <w:trPr>
          <w:trHeight w:hRule="exact" w:val="2220"/>
          <w:jc w:val="center"/>
        </w:trPr>
        <w:tc>
          <w:tcPr>
            <w:tcW w:w="1267" w:type="dxa"/>
            <w:vMerge w:val="restart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长沙市非物质文化遗产保护中心（长沙非物质文化遗产馆）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非</w:t>
            </w:r>
            <w:proofErr w:type="gramStart"/>
            <w:r>
              <w:rPr>
                <w:rFonts w:hint="eastAsia"/>
                <w:sz w:val="21"/>
                <w:szCs w:val="21"/>
                <w:lang w:val="en-US" w:eastAsia="zh-CN"/>
              </w:rPr>
              <w:t>遗研究</w:t>
            </w:r>
            <w:proofErr w:type="gramEnd"/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88" w:lineRule="exact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本科：社会学、人类学、民族学、历史学、文物与博物馆学、文化遗产专业</w:t>
            </w:r>
          </w:p>
          <w:p w:rsidR="00D31F4D" w:rsidRDefault="00D31F4D" w:rsidP="005228E0">
            <w:pPr>
              <w:pStyle w:val="Other1"/>
              <w:spacing w:after="0" w:line="240" w:lineRule="auto"/>
              <w:ind w:firstLine="0"/>
              <w:jc w:val="left"/>
              <w:rPr>
                <w:rFonts w:hint="eastAsia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研究生：社会学、人类学、民俗学、民族学、中国少数民族艺术、考古学及博物馆学、文物与博物馆硕士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D31F4D" w:rsidTr="005228E0">
        <w:trPr>
          <w:trHeight w:hRule="exact" w:val="1232"/>
          <w:jc w:val="center"/>
        </w:trPr>
        <w:tc>
          <w:tcPr>
            <w:tcW w:w="1267" w:type="dxa"/>
            <w:vMerge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宣传专干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88" w:lineRule="exact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中国语言文学类、新闻传播学类专业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中共党员（含预备党员），具有较强的文字写作能力。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面向2023届普通高校毕业生；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968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长沙市贾谊故居管理处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讲解员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eastAsia="PMingLiU"/>
                <w:sz w:val="21"/>
                <w:szCs w:val="21"/>
                <w:lang w:val="en-US" w:eastAsia="zh-CN"/>
              </w:rPr>
            </w:pPr>
            <w:r>
              <w:rPr>
                <w:rFonts w:eastAsia="PMingLiU"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艺术类、教育学类、中国语言文学类、新闻传播学类、历史学类、旅游管理类专业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女性身高162CM及以上，男性身高172CM及以上。普通话水平达到二级甲等及以上。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结构化面试+专业考核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1243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lastRenderedPageBreak/>
              <w:t>长沙市贾谊故居管理处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社会教育员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中国语言文学类、新闻传播学类、教育学类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中共党员（含预备党员），具有较强的文字写作能力。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笔试+专业考核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面向2023届普通高校毕业生；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1054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长沙近现代文物保护管理中心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讲解员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艺术类、教育学类、中国语言文学类、新闻传播学类、历史学类、旅游管理类专业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女性身高162CM及以上，男性身高172CM及以上。普通话水平达到二级甲等及以上。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结构化面试+专业考核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研究生学历可放宽至30岁及以下</w:t>
            </w:r>
          </w:p>
        </w:tc>
      </w:tr>
      <w:tr w:rsidR="00D31F4D" w:rsidTr="005228E0">
        <w:trPr>
          <w:trHeight w:hRule="exact" w:val="1236"/>
          <w:jc w:val="center"/>
        </w:trPr>
        <w:tc>
          <w:tcPr>
            <w:tcW w:w="126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长沙近现代文物保护管理中心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社会教育员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25岁及以下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707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中国语言文学类、新闻传播学类、教育学类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中共党员（含预备党员），具有较强的文字写作能力。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31F4D" w:rsidRDefault="00D31F4D" w:rsidP="005228E0">
            <w:pPr>
              <w:jc w:val="center"/>
              <w:rPr>
                <w:rFonts w:ascii="宋体" w:hAnsi="宋体" w:cs="宋体" w:hint="eastAsia"/>
                <w:color w:val="000000"/>
                <w:szCs w:val="21"/>
                <w:lang w:val="zh-TW" w:bidi="zh-TW"/>
              </w:rPr>
            </w:pPr>
            <w:r>
              <w:rPr>
                <w:rFonts w:hint="eastAsia"/>
                <w:color w:val="000000"/>
                <w:szCs w:val="21"/>
              </w:rPr>
              <w:t>笔试</w:t>
            </w:r>
            <w:r>
              <w:rPr>
                <w:rFonts w:hint="eastAsia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专业考核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D31F4D" w:rsidRDefault="00D31F4D" w:rsidP="005228E0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面向2023届普通高校毕业生；研究生学历可放宽至30岁及以下</w:t>
            </w:r>
          </w:p>
        </w:tc>
      </w:tr>
    </w:tbl>
    <w:p w:rsidR="00D31F4D" w:rsidRDefault="00D31F4D" w:rsidP="00D31F4D">
      <w:pPr>
        <w:rPr>
          <w:rFonts w:ascii="宋体" w:hAnsi="宋体" w:cs="宋体" w:hint="eastAsia"/>
          <w:color w:val="000000"/>
          <w:szCs w:val="21"/>
          <w:lang w:bidi="zh-TW"/>
        </w:rPr>
      </w:pPr>
    </w:p>
    <w:p w:rsidR="00D31F4D" w:rsidRDefault="00D31F4D" w:rsidP="00D31F4D">
      <w:pPr>
        <w:pStyle w:val="Other1"/>
        <w:spacing w:after="0" w:line="240" w:lineRule="exact"/>
        <w:ind w:firstLine="0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说明：1. 25岁以下是指1998年9月1日及以后出生；28岁以下是指1995年9月1日及以后出生；35岁以下是指1988年9月1日及以后出生。</w:t>
      </w:r>
    </w:p>
    <w:p w:rsidR="00D31F4D" w:rsidRDefault="00D31F4D" w:rsidP="00D31F4D">
      <w:pPr>
        <w:pStyle w:val="Other1"/>
        <w:spacing w:after="0" w:line="240" w:lineRule="exact"/>
        <w:ind w:firstLineChars="300" w:firstLine="630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.面向2023届普通高校毕业生招录的职位，报考人员必须为通过全国统一的高考或研究生入学考试，在国内普通高等学校或承担研究生教育任务的科学研究机构就读，且就读期间个人档案保管在就读院校（或科研机构），于2023年7月31日前毕业的学生。2022年8月1日至2023年7月31日期间取得国（境）外学历（学位）的留学回国应届毕业生，未落实工作单位的，可以报考面向2023届普通高校毕业生招录的职位。</w:t>
      </w:r>
    </w:p>
    <w:p w:rsidR="00D31F4D" w:rsidRDefault="00D31F4D" w:rsidP="00D31F4D"/>
    <w:p w:rsidR="004A4C7E" w:rsidRPr="00D31F4D" w:rsidRDefault="004A4C7E"/>
    <w:sectPr w:rsidR="004A4C7E" w:rsidRPr="00D31F4D" w:rsidSect="00D31F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D"/>
    <w:rsid w:val="004A4C7E"/>
    <w:rsid w:val="00D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D31F4D"/>
    <w:pPr>
      <w:spacing w:after="240" w:line="619" w:lineRule="exact"/>
      <w:jc w:val="center"/>
      <w:outlineLvl w:val="0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Other1">
    <w:name w:val="Other|1"/>
    <w:basedOn w:val="a"/>
    <w:rsid w:val="00D31F4D"/>
    <w:pPr>
      <w:spacing w:after="220" w:line="374" w:lineRule="auto"/>
      <w:ind w:firstLine="400"/>
    </w:pPr>
    <w:rPr>
      <w:rFonts w:ascii="宋体" w:hAnsi="宋体" w:cs="宋体"/>
      <w:sz w:val="34"/>
      <w:szCs w:val="3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D31F4D"/>
    <w:pPr>
      <w:spacing w:after="240" w:line="619" w:lineRule="exact"/>
      <w:jc w:val="center"/>
      <w:outlineLvl w:val="0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Other1">
    <w:name w:val="Other|1"/>
    <w:basedOn w:val="a"/>
    <w:rsid w:val="00D31F4D"/>
    <w:pPr>
      <w:spacing w:after="220" w:line="374" w:lineRule="auto"/>
      <w:ind w:firstLine="400"/>
    </w:pPr>
    <w:rPr>
      <w:rFonts w:ascii="宋体" w:hAnsi="宋体" w:cs="宋体"/>
      <w:sz w:val="34"/>
      <w:szCs w:val="3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2023-09-22T02:16:00Z</dcterms:created>
  <dcterms:modified xsi:type="dcterms:W3CDTF">2023-09-22T02:17:00Z</dcterms:modified>
</cp:coreProperties>
</file>